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D9" w:rsidRPr="00D016B2" w:rsidRDefault="00D016B2" w:rsidP="00830683">
      <w:pPr>
        <w:shd w:val="clear" w:color="auto" w:fill="FFFFFF"/>
        <w:spacing w:after="255" w:line="276" w:lineRule="auto"/>
        <w:ind w:left="851"/>
        <w:outlineLvl w:val="2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                                  </w:t>
      </w:r>
      <w:r w:rsidR="00830683">
        <w:rPr>
          <w:b/>
          <w:bCs/>
          <w:color w:val="333333"/>
          <w:sz w:val="26"/>
          <w:szCs w:val="26"/>
        </w:rPr>
        <w:t xml:space="preserve">          </w:t>
      </w:r>
      <w:r w:rsidR="00A370D9" w:rsidRPr="00D016B2">
        <w:rPr>
          <w:b/>
          <w:bCs/>
          <w:color w:val="333333"/>
          <w:sz w:val="26"/>
          <w:szCs w:val="26"/>
        </w:rPr>
        <w:t>Отчет</w:t>
      </w:r>
      <w:r w:rsidR="00A370D9" w:rsidRPr="00D016B2">
        <w:rPr>
          <w:b/>
          <w:bCs/>
          <w:color w:val="333333"/>
          <w:sz w:val="26"/>
          <w:szCs w:val="26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A370D9" w:rsidRPr="004C0E41" w:rsidRDefault="002E3D61" w:rsidP="008E23A3">
      <w:pPr>
        <w:shd w:val="clear" w:color="auto" w:fill="FFFFFF"/>
        <w:spacing w:after="255" w:line="276" w:lineRule="auto"/>
        <w:jc w:val="both"/>
        <w:rPr>
          <w:sz w:val="26"/>
          <w:szCs w:val="26"/>
          <w:lang w:val="en-US"/>
        </w:rPr>
      </w:pPr>
      <w:r>
        <w:rPr>
          <w:b/>
          <w:bCs/>
          <w:color w:val="333333"/>
          <w:sz w:val="28"/>
          <w:szCs w:val="28"/>
        </w:rPr>
        <w:t xml:space="preserve">                 </w:t>
      </w:r>
      <w:r w:rsidR="00830683">
        <w:rPr>
          <w:b/>
          <w:bCs/>
          <w:color w:val="333333"/>
          <w:sz w:val="28"/>
          <w:szCs w:val="28"/>
        </w:rPr>
        <w:t xml:space="preserve">                    </w:t>
      </w:r>
      <w:r>
        <w:rPr>
          <w:b/>
          <w:bCs/>
          <w:color w:val="333333"/>
          <w:sz w:val="28"/>
          <w:szCs w:val="28"/>
        </w:rPr>
        <w:t xml:space="preserve"> </w:t>
      </w:r>
      <w:r w:rsidR="00A370D9" w:rsidRPr="004C0E41">
        <w:rPr>
          <w:sz w:val="26"/>
          <w:szCs w:val="26"/>
        </w:rPr>
        <w:t xml:space="preserve">на </w:t>
      </w:r>
      <w:r w:rsidR="00A370D9" w:rsidRPr="004C0E41">
        <w:rPr>
          <w:sz w:val="26"/>
          <w:szCs w:val="26"/>
          <w:u w:val="single"/>
        </w:rPr>
        <w:t xml:space="preserve">1 </w:t>
      </w:r>
      <w:r w:rsidR="009C5F2A" w:rsidRPr="004C0E41">
        <w:rPr>
          <w:sz w:val="26"/>
          <w:szCs w:val="26"/>
          <w:u w:val="single"/>
        </w:rPr>
        <w:t>января</w:t>
      </w:r>
      <w:r w:rsidR="00A370D9" w:rsidRPr="004C0E41">
        <w:rPr>
          <w:sz w:val="26"/>
          <w:szCs w:val="26"/>
          <w:u w:val="single"/>
        </w:rPr>
        <w:t xml:space="preserve"> 20</w:t>
      </w:r>
      <w:r w:rsidR="009C5F2A" w:rsidRPr="004C0E41">
        <w:rPr>
          <w:sz w:val="26"/>
          <w:szCs w:val="26"/>
          <w:u w:val="single"/>
        </w:rPr>
        <w:t>2</w:t>
      </w:r>
      <w:r w:rsidR="00E3758B" w:rsidRPr="004C0E41">
        <w:rPr>
          <w:sz w:val="26"/>
          <w:szCs w:val="26"/>
          <w:u w:val="single"/>
        </w:rPr>
        <w:t>4</w:t>
      </w:r>
      <w:r w:rsidR="00A370D9" w:rsidRPr="004C0E41">
        <w:rPr>
          <w:sz w:val="26"/>
          <w:szCs w:val="26"/>
        </w:rPr>
        <w:t xml:space="preserve"> г.</w:t>
      </w:r>
    </w:p>
    <w:tbl>
      <w:tblPr>
        <w:tblW w:w="10774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1"/>
        <w:gridCol w:w="1984"/>
        <w:gridCol w:w="1560"/>
        <w:gridCol w:w="2110"/>
        <w:gridCol w:w="299"/>
      </w:tblGrid>
      <w:tr w:rsidR="0067551E" w:rsidRPr="008E23A3" w:rsidTr="007C4A97">
        <w:trPr>
          <w:gridAfter w:val="1"/>
          <w:wAfter w:w="299" w:type="dxa"/>
          <w:trHeight w:val="974"/>
        </w:trPr>
        <w:tc>
          <w:tcPr>
            <w:tcW w:w="4821" w:type="dxa"/>
            <w:shd w:val="clear" w:color="auto" w:fill="FFFFFF"/>
            <w:hideMark/>
          </w:tcPr>
          <w:p w:rsidR="002E3D61" w:rsidRPr="008E23A3" w:rsidRDefault="002E3D61" w:rsidP="008E23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A370D9" w:rsidRPr="008E23A3" w:rsidRDefault="00A370D9" w:rsidP="008E23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E23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A370D9" w:rsidRPr="008E23A3" w:rsidRDefault="00A370D9" w:rsidP="008E23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E23A3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2110" w:type="dxa"/>
            <w:shd w:val="clear" w:color="auto" w:fill="FFFFFF"/>
          </w:tcPr>
          <w:p w:rsidR="00A370D9" w:rsidRPr="008E23A3" w:rsidRDefault="00A370D9" w:rsidP="008E23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479E" w:rsidRPr="008E23A3" w:rsidTr="007C4A97">
        <w:trPr>
          <w:trHeight w:val="510"/>
        </w:trPr>
        <w:tc>
          <w:tcPr>
            <w:tcW w:w="4821" w:type="dxa"/>
            <w:shd w:val="clear" w:color="auto" w:fill="FFFFFF"/>
            <w:hideMark/>
          </w:tcPr>
          <w:p w:rsidR="00FC479E" w:rsidRPr="00E3758B" w:rsidRDefault="00FC479E" w:rsidP="008E23A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E3758B">
              <w:rPr>
                <w:sz w:val="24"/>
                <w:szCs w:val="24"/>
                <w:u w:val="single"/>
              </w:rPr>
              <w:t>Наименование органа контроля</w:t>
            </w:r>
          </w:p>
          <w:p w:rsidR="00FC479E" w:rsidRPr="00E3758B" w:rsidRDefault="00FC479E" w:rsidP="00E3758B">
            <w:pPr>
              <w:tabs>
                <w:tab w:val="left" w:pos="837"/>
              </w:tabs>
              <w:spacing w:line="276" w:lineRule="auto"/>
              <w:ind w:right="-116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Администрация Сарпинского РМО РК</w:t>
            </w:r>
          </w:p>
          <w:p w:rsidR="00FC479E" w:rsidRPr="00E3758B" w:rsidRDefault="00FC479E" w:rsidP="008E23A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FC479E" w:rsidRPr="007C4A97" w:rsidRDefault="00FC479E" w:rsidP="008E23A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7C4A97">
              <w:rPr>
                <w:sz w:val="24"/>
                <w:szCs w:val="24"/>
                <w:u w:val="single"/>
              </w:rPr>
              <w:t>Периодичность: годовая</w:t>
            </w:r>
          </w:p>
        </w:tc>
        <w:tc>
          <w:tcPr>
            <w:tcW w:w="1984" w:type="dxa"/>
            <w:shd w:val="clear" w:color="auto" w:fill="FFFFFF"/>
            <w:hideMark/>
          </w:tcPr>
          <w:p w:rsidR="00FC479E" w:rsidRPr="006F2058" w:rsidRDefault="00FC479E" w:rsidP="008E23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F2058">
              <w:rPr>
                <w:sz w:val="22"/>
                <w:szCs w:val="22"/>
                <w:u w:val="single"/>
              </w:rPr>
              <w:t xml:space="preserve">    </w:t>
            </w:r>
          </w:p>
          <w:p w:rsidR="00FC479E" w:rsidRPr="006F2058" w:rsidRDefault="00FC479E" w:rsidP="008E23A3">
            <w:pPr>
              <w:tabs>
                <w:tab w:val="left" w:pos="2117"/>
                <w:tab w:val="right" w:pos="337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FC479E" w:rsidRPr="006F2058" w:rsidRDefault="00FC479E" w:rsidP="008E23A3">
            <w:pPr>
              <w:tabs>
                <w:tab w:val="left" w:pos="2550"/>
                <w:tab w:val="right" w:pos="32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205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Pr="006F2058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FFFFFF"/>
            <w:hideMark/>
          </w:tcPr>
          <w:p w:rsidR="00FC479E" w:rsidRPr="00FC479E" w:rsidRDefault="00FC479E" w:rsidP="004E65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C479E" w:rsidRPr="00FC479E" w:rsidRDefault="00FC479E" w:rsidP="004E65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C479E" w:rsidRPr="00FC479E" w:rsidRDefault="00FC479E" w:rsidP="004E65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479E">
              <w:rPr>
                <w:sz w:val="22"/>
                <w:szCs w:val="22"/>
              </w:rPr>
              <w:t>Дата</w:t>
            </w:r>
          </w:p>
          <w:p w:rsidR="00FC479E" w:rsidRDefault="00FC479E" w:rsidP="004E6581">
            <w:pPr>
              <w:spacing w:line="276" w:lineRule="auto"/>
              <w:ind w:left="-12"/>
              <w:jc w:val="both"/>
              <w:rPr>
                <w:sz w:val="22"/>
                <w:szCs w:val="22"/>
              </w:rPr>
            </w:pPr>
            <w:r w:rsidRPr="00FC479E">
              <w:rPr>
                <w:sz w:val="22"/>
                <w:szCs w:val="22"/>
              </w:rPr>
              <w:t xml:space="preserve">ОКПО </w:t>
            </w:r>
          </w:p>
          <w:p w:rsidR="00FC479E" w:rsidRPr="00FC479E" w:rsidRDefault="00FC479E" w:rsidP="004E6581">
            <w:pPr>
              <w:spacing w:line="276" w:lineRule="auto"/>
              <w:ind w:left="-12"/>
              <w:jc w:val="both"/>
              <w:rPr>
                <w:sz w:val="22"/>
                <w:szCs w:val="22"/>
              </w:rPr>
            </w:pPr>
            <w:r w:rsidRPr="00FC479E">
              <w:rPr>
                <w:sz w:val="22"/>
                <w:szCs w:val="22"/>
              </w:rPr>
              <w:t>ОКТМО</w:t>
            </w:r>
          </w:p>
          <w:p w:rsidR="00FC479E" w:rsidRPr="00FC479E" w:rsidRDefault="00FC479E" w:rsidP="004E65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C479E" w:rsidRPr="00FC479E" w:rsidRDefault="00FC479E" w:rsidP="004E65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479E">
              <w:rPr>
                <w:sz w:val="22"/>
                <w:szCs w:val="22"/>
              </w:rPr>
              <w:t>ОКЕИ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C479E" w:rsidRPr="00FC479E" w:rsidRDefault="00FC479E" w:rsidP="004E65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1255"/>
            </w:tblGrid>
            <w:tr w:rsidR="00FC479E" w:rsidRPr="00FC479E" w:rsidTr="004E6581">
              <w:trPr>
                <w:trHeight w:val="260"/>
              </w:trPr>
              <w:tc>
                <w:tcPr>
                  <w:tcW w:w="125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C479E" w:rsidRPr="001A1D26" w:rsidRDefault="00FC479E" w:rsidP="004E6581">
                  <w:pPr>
                    <w:spacing w:line="276" w:lineRule="auto"/>
                    <w:jc w:val="both"/>
                  </w:pPr>
                  <w:r w:rsidRPr="001A1D26">
                    <w:t>КОДЫ</w:t>
                  </w:r>
                </w:p>
              </w:tc>
            </w:tr>
            <w:tr w:rsidR="00FC479E" w:rsidRPr="00FC479E" w:rsidTr="004E6581">
              <w:trPr>
                <w:trHeight w:val="360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479E" w:rsidRPr="00FC479E" w:rsidRDefault="007C4A97" w:rsidP="004E6581">
                  <w:pPr>
                    <w:spacing w:line="276" w:lineRule="auto"/>
                    <w:jc w:val="both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26</w:t>
                  </w:r>
                  <w:r w:rsidR="00FC479E" w:rsidRPr="00FC479E">
                    <w:rPr>
                      <w:noProof/>
                      <w:sz w:val="22"/>
                      <w:szCs w:val="22"/>
                    </w:rPr>
                    <w:t>.02.2023</w:t>
                  </w:r>
                </w:p>
              </w:tc>
            </w:tr>
            <w:tr w:rsidR="00FC479E" w:rsidRPr="00FC479E" w:rsidTr="004E6581">
              <w:trPr>
                <w:trHeight w:val="260"/>
              </w:trPr>
              <w:tc>
                <w:tcPr>
                  <w:tcW w:w="1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479E" w:rsidRPr="00FC479E" w:rsidRDefault="003E0F5C" w:rsidP="004E658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t>14324953</w:t>
                  </w:r>
                </w:p>
              </w:tc>
            </w:tr>
            <w:tr w:rsidR="00FC479E" w:rsidRPr="00FC479E" w:rsidTr="004E6581">
              <w:trPr>
                <w:cantSplit/>
                <w:trHeight w:val="260"/>
              </w:trPr>
              <w:tc>
                <w:tcPr>
                  <w:tcW w:w="1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479E" w:rsidRPr="00FC479E" w:rsidRDefault="003E0F5C" w:rsidP="004E658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t>85632000</w:t>
                  </w:r>
                </w:p>
              </w:tc>
            </w:tr>
            <w:tr w:rsidR="00FC479E" w:rsidRPr="00FC479E" w:rsidTr="004E6581">
              <w:trPr>
                <w:trHeight w:val="260"/>
              </w:trPr>
              <w:tc>
                <w:tcPr>
                  <w:tcW w:w="1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479E" w:rsidRPr="00FC479E" w:rsidRDefault="00FC479E" w:rsidP="004E658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C479E" w:rsidRPr="00FC479E" w:rsidTr="004E6581">
              <w:trPr>
                <w:trHeight w:val="245"/>
              </w:trPr>
              <w:tc>
                <w:tcPr>
                  <w:tcW w:w="1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479E" w:rsidRPr="00FC479E" w:rsidRDefault="00FC479E" w:rsidP="004E658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FC479E">
                    <w:rPr>
                      <w:sz w:val="22"/>
                      <w:szCs w:val="22"/>
                    </w:rPr>
                    <w:t>384</w:t>
                  </w:r>
                </w:p>
              </w:tc>
            </w:tr>
          </w:tbl>
          <w:p w:rsidR="00FC479E" w:rsidRPr="00FC479E" w:rsidRDefault="00FC479E" w:rsidP="004E65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7551E" w:rsidRPr="008E23A3" w:rsidTr="007C4A97">
        <w:trPr>
          <w:gridAfter w:val="1"/>
          <w:wAfter w:w="299" w:type="dxa"/>
          <w:trHeight w:val="245"/>
        </w:trPr>
        <w:tc>
          <w:tcPr>
            <w:tcW w:w="6805" w:type="dxa"/>
            <w:gridSpan w:val="2"/>
            <w:shd w:val="clear" w:color="auto" w:fill="FFFFFF"/>
            <w:hideMark/>
          </w:tcPr>
          <w:p w:rsidR="00A370D9" w:rsidRPr="008E23A3" w:rsidRDefault="00A370D9" w:rsidP="008E2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A370D9" w:rsidRPr="008E23A3" w:rsidRDefault="00A370D9" w:rsidP="00FC479E">
            <w:pPr>
              <w:spacing w:line="276" w:lineRule="auto"/>
              <w:ind w:right="-723"/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FFFFFF"/>
          </w:tcPr>
          <w:p w:rsidR="00A370D9" w:rsidRPr="008E23A3" w:rsidRDefault="00A370D9" w:rsidP="008E2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551E" w:rsidRPr="008E23A3" w:rsidTr="007C4A97">
        <w:trPr>
          <w:gridAfter w:val="1"/>
          <w:wAfter w:w="299" w:type="dxa"/>
          <w:trHeight w:val="429"/>
        </w:trPr>
        <w:tc>
          <w:tcPr>
            <w:tcW w:w="6805" w:type="dxa"/>
            <w:gridSpan w:val="2"/>
            <w:shd w:val="clear" w:color="auto" w:fill="FFFFFF"/>
            <w:hideMark/>
          </w:tcPr>
          <w:p w:rsidR="00A370D9" w:rsidRPr="008E23A3" w:rsidRDefault="00A370D9" w:rsidP="008E23A3">
            <w:pPr>
              <w:tabs>
                <w:tab w:val="left" w:pos="502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E23A3">
              <w:rPr>
                <w:sz w:val="28"/>
                <w:szCs w:val="28"/>
              </w:rPr>
              <w:t>   </w:t>
            </w:r>
          </w:p>
        </w:tc>
        <w:tc>
          <w:tcPr>
            <w:tcW w:w="1560" w:type="dxa"/>
            <w:shd w:val="clear" w:color="auto" w:fill="FFFFFF"/>
          </w:tcPr>
          <w:p w:rsidR="00A370D9" w:rsidRPr="008E23A3" w:rsidRDefault="00A370D9" w:rsidP="008E23A3">
            <w:pPr>
              <w:spacing w:line="276" w:lineRule="auto"/>
              <w:ind w:hanging="224"/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FFFFFF"/>
          </w:tcPr>
          <w:p w:rsidR="00A370D9" w:rsidRPr="008E23A3" w:rsidRDefault="00A370D9" w:rsidP="008E2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370D9" w:rsidRPr="008E23A3" w:rsidRDefault="00A370D9" w:rsidP="008E23A3">
      <w:pPr>
        <w:spacing w:line="276" w:lineRule="auto"/>
        <w:jc w:val="both"/>
        <w:rPr>
          <w:vanish/>
          <w:sz w:val="28"/>
          <w:szCs w:val="28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850"/>
        <w:gridCol w:w="1432"/>
      </w:tblGrid>
      <w:tr w:rsidR="0067551E" w:rsidRPr="008E23A3" w:rsidTr="001A1D26">
        <w:trPr>
          <w:trHeight w:val="671"/>
        </w:trPr>
        <w:tc>
          <w:tcPr>
            <w:tcW w:w="7655" w:type="dxa"/>
            <w:shd w:val="clear" w:color="auto" w:fill="FFFFFF"/>
            <w:hideMark/>
          </w:tcPr>
          <w:p w:rsidR="00A370D9" w:rsidRPr="00E3758B" w:rsidRDefault="00A370D9" w:rsidP="00E375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758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E3758B" w:rsidRDefault="00A370D9" w:rsidP="00E375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758B">
              <w:rPr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E3758B" w:rsidRDefault="00A370D9" w:rsidP="00E3758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3758B">
              <w:rPr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67551E" w:rsidRPr="00E3758B" w:rsidTr="001A1D26">
        <w:trPr>
          <w:trHeight w:val="951"/>
        </w:trPr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E375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 руб</w:t>
            </w:r>
            <w:r w:rsidR="00E3758B" w:rsidRPr="00D016B2">
              <w:rPr>
                <w:sz w:val="24"/>
                <w:szCs w:val="24"/>
              </w:rPr>
              <w:t>., в том числе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010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31240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52731,0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010/1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31240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52731,0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010/2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AB30FF" w:rsidRPr="00D016B2">
              <w:rPr>
                <w:sz w:val="24"/>
                <w:szCs w:val="24"/>
              </w:rPr>
              <w:t>-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6" w:anchor="10010" w:history="1">
              <w:r w:rsidRPr="00D016B2">
                <w:rPr>
                  <w:sz w:val="24"/>
                  <w:szCs w:val="24"/>
                  <w:u w:val="single"/>
                  <w:bdr w:val="none" w:sz="0" w:space="0" w:color="auto" w:frame="1"/>
                </w:rPr>
                <w:t>строки 010</w:t>
              </w:r>
            </w:hyperlink>
            <w:r w:rsidRPr="00D016B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011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31240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-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020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31240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 xml:space="preserve"> </w:t>
            </w:r>
            <w:r w:rsidR="006F2058" w:rsidRPr="00D016B2">
              <w:rPr>
                <w:sz w:val="24"/>
                <w:szCs w:val="24"/>
              </w:rPr>
              <w:t>8935,5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020/1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6F2058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8935,5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020/2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AB30FF" w:rsidRPr="00D016B2">
              <w:rPr>
                <w:sz w:val="24"/>
                <w:szCs w:val="24"/>
              </w:rPr>
              <w:t>-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 xml:space="preserve">Выявлено нарушений при осуществлении контроля в сфере закупок, </w:t>
            </w:r>
            <w:r w:rsidRPr="00D016B2">
              <w:rPr>
                <w:sz w:val="24"/>
                <w:szCs w:val="24"/>
              </w:rPr>
              <w:lastRenderedPageBreak/>
              <w:t>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10020" w:history="1">
              <w:r w:rsidRPr="00D016B2">
                <w:rPr>
                  <w:sz w:val="24"/>
                  <w:szCs w:val="24"/>
                  <w:u w:val="single"/>
                  <w:bdr w:val="none" w:sz="0" w:space="0" w:color="auto" w:frame="1"/>
                </w:rPr>
                <w:t>строки 020</w:t>
              </w:r>
            </w:hyperlink>
            <w:r w:rsidRPr="00D016B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lastRenderedPageBreak/>
              <w:t>021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AB30FF" w:rsidRPr="00D016B2">
              <w:rPr>
                <w:sz w:val="24"/>
                <w:szCs w:val="24"/>
              </w:rPr>
              <w:t>-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030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926E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6F2058" w:rsidRPr="00D016B2">
              <w:rPr>
                <w:sz w:val="24"/>
                <w:szCs w:val="24"/>
              </w:rPr>
              <w:t>3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в том числе: в соответствии с планом контрольных мероприятий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031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6F2058" w:rsidRPr="00D016B2">
              <w:rPr>
                <w:sz w:val="24"/>
                <w:szCs w:val="24"/>
              </w:rPr>
              <w:t>3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032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362628" w:rsidRPr="00D016B2">
              <w:rPr>
                <w:sz w:val="24"/>
                <w:szCs w:val="24"/>
              </w:rPr>
              <w:t>-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040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 xml:space="preserve">  </w:t>
            </w:r>
            <w:r w:rsidR="006F2058" w:rsidRPr="00D016B2">
              <w:rPr>
                <w:sz w:val="24"/>
                <w:szCs w:val="24"/>
              </w:rPr>
              <w:t>1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10040" w:history="1">
              <w:r w:rsidRPr="00D016B2">
                <w:rPr>
                  <w:sz w:val="24"/>
                  <w:szCs w:val="24"/>
                  <w:u w:val="single"/>
                  <w:bdr w:val="none" w:sz="0" w:space="0" w:color="auto" w:frame="1"/>
                </w:rPr>
                <w:t>строки 040</w:t>
              </w:r>
            </w:hyperlink>
            <w:r w:rsidRPr="00D016B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041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362628" w:rsidRPr="00D016B2">
              <w:rPr>
                <w:sz w:val="24"/>
                <w:szCs w:val="24"/>
              </w:rPr>
              <w:t>-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050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6F2058" w:rsidRPr="00D016B2">
              <w:rPr>
                <w:sz w:val="24"/>
                <w:szCs w:val="24"/>
              </w:rPr>
              <w:t>2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10050" w:history="1">
              <w:r w:rsidRPr="00D016B2">
                <w:rPr>
                  <w:sz w:val="24"/>
                  <w:szCs w:val="24"/>
                  <w:u w:val="single"/>
                  <w:bdr w:val="none" w:sz="0" w:space="0" w:color="auto" w:frame="1"/>
                </w:rPr>
                <w:t>строки 050</w:t>
              </w:r>
            </w:hyperlink>
            <w:r w:rsidRPr="00D016B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051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6F2058" w:rsidRPr="00D016B2">
              <w:rPr>
                <w:sz w:val="24"/>
                <w:szCs w:val="24"/>
              </w:rPr>
              <w:t>-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060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362628" w:rsidRPr="00D016B2">
              <w:rPr>
                <w:sz w:val="24"/>
                <w:szCs w:val="24"/>
              </w:rPr>
              <w:t>-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061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</w:p>
        </w:tc>
      </w:tr>
      <w:tr w:rsidR="0067551E" w:rsidRPr="00E3758B" w:rsidTr="001A1D26">
        <w:tc>
          <w:tcPr>
            <w:tcW w:w="7655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850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062</w:t>
            </w:r>
          </w:p>
        </w:tc>
        <w:tc>
          <w:tcPr>
            <w:tcW w:w="1432" w:type="dxa"/>
            <w:shd w:val="clear" w:color="auto" w:fill="FFFFFF"/>
            <w:hideMark/>
          </w:tcPr>
          <w:p w:rsidR="00A370D9" w:rsidRPr="00D016B2" w:rsidRDefault="00A370D9" w:rsidP="008E23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6B2">
              <w:rPr>
                <w:sz w:val="24"/>
                <w:szCs w:val="24"/>
              </w:rPr>
              <w:t>   </w:t>
            </w:r>
            <w:r w:rsidR="00362628" w:rsidRPr="00D016B2">
              <w:rPr>
                <w:sz w:val="24"/>
                <w:szCs w:val="24"/>
              </w:rPr>
              <w:t>-</w:t>
            </w:r>
          </w:p>
        </w:tc>
      </w:tr>
    </w:tbl>
    <w:p w:rsidR="00A370D9" w:rsidRPr="00E3758B" w:rsidRDefault="00A370D9" w:rsidP="008E23A3">
      <w:pPr>
        <w:spacing w:line="276" w:lineRule="auto"/>
        <w:jc w:val="both"/>
        <w:rPr>
          <w:vanish/>
          <w:sz w:val="26"/>
          <w:szCs w:val="26"/>
          <w:highlight w:val="yellow"/>
        </w:rPr>
      </w:pPr>
    </w:p>
    <w:tbl>
      <w:tblPr>
        <w:tblW w:w="9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  <w:gridCol w:w="2139"/>
        <w:gridCol w:w="3675"/>
      </w:tblGrid>
      <w:tr w:rsidR="004B68CE" w:rsidRPr="00E3758B" w:rsidTr="006F2058">
        <w:tc>
          <w:tcPr>
            <w:tcW w:w="3570" w:type="dxa"/>
            <w:shd w:val="clear" w:color="auto" w:fill="FFFFFF"/>
            <w:hideMark/>
          </w:tcPr>
          <w:p w:rsidR="006F2058" w:rsidRDefault="006F2058" w:rsidP="00E56209">
            <w:pPr>
              <w:rPr>
                <w:sz w:val="26"/>
                <w:szCs w:val="26"/>
              </w:rPr>
            </w:pPr>
          </w:p>
          <w:p w:rsidR="001A1D26" w:rsidRDefault="001A1D26" w:rsidP="00E56209">
            <w:pPr>
              <w:rPr>
                <w:sz w:val="26"/>
                <w:szCs w:val="26"/>
              </w:rPr>
            </w:pPr>
          </w:p>
          <w:p w:rsidR="001A1D26" w:rsidRDefault="001A1D26" w:rsidP="00E56209">
            <w:pPr>
              <w:rPr>
                <w:sz w:val="26"/>
                <w:szCs w:val="26"/>
              </w:rPr>
            </w:pPr>
          </w:p>
          <w:p w:rsidR="001A1D26" w:rsidRDefault="001A1D26" w:rsidP="00E56209">
            <w:pPr>
              <w:rPr>
                <w:sz w:val="26"/>
                <w:szCs w:val="26"/>
              </w:rPr>
            </w:pPr>
          </w:p>
          <w:p w:rsidR="001A1D26" w:rsidRDefault="001A1D26" w:rsidP="00E56209">
            <w:pPr>
              <w:rPr>
                <w:sz w:val="26"/>
                <w:szCs w:val="26"/>
              </w:rPr>
            </w:pPr>
          </w:p>
          <w:p w:rsidR="00A370D9" w:rsidRPr="00E3758B" w:rsidRDefault="00B40F89" w:rsidP="002E3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r w:rsidR="002E3D61">
              <w:rPr>
                <w:sz w:val="26"/>
                <w:szCs w:val="26"/>
              </w:rPr>
              <w:t>.</w:t>
            </w:r>
            <w:r w:rsidR="001B1FF6">
              <w:rPr>
                <w:sz w:val="26"/>
                <w:szCs w:val="26"/>
              </w:rPr>
              <w:t xml:space="preserve"> </w:t>
            </w:r>
            <w:r w:rsidR="002E3D61">
              <w:rPr>
                <w:sz w:val="26"/>
                <w:szCs w:val="26"/>
              </w:rPr>
              <w:t>главного специалиста</w:t>
            </w:r>
            <w:r w:rsidR="006F2058">
              <w:rPr>
                <w:sz w:val="26"/>
                <w:szCs w:val="26"/>
              </w:rPr>
              <w:t xml:space="preserve"> отдела ФЭП и ЦБУ администрации Сарпинского РМО РК</w:t>
            </w:r>
            <w:r w:rsidR="002E3D61">
              <w:rPr>
                <w:sz w:val="26"/>
                <w:szCs w:val="26"/>
              </w:rPr>
              <w:t xml:space="preserve"> (уполномоченное лицо органа контроля</w:t>
            </w:r>
            <w:r w:rsidR="004C0E41">
              <w:rPr>
                <w:sz w:val="26"/>
                <w:szCs w:val="26"/>
              </w:rPr>
              <w:t>)</w:t>
            </w:r>
          </w:p>
        </w:tc>
        <w:tc>
          <w:tcPr>
            <w:tcW w:w="2139" w:type="dxa"/>
            <w:shd w:val="clear" w:color="auto" w:fill="FFFFFF"/>
            <w:hideMark/>
          </w:tcPr>
          <w:p w:rsidR="001430FD" w:rsidRPr="00E3758B" w:rsidRDefault="00A370D9" w:rsidP="00E56209">
            <w:pPr>
              <w:rPr>
                <w:sz w:val="26"/>
                <w:szCs w:val="26"/>
              </w:rPr>
            </w:pPr>
            <w:r w:rsidRPr="00E3758B">
              <w:rPr>
                <w:sz w:val="26"/>
                <w:szCs w:val="26"/>
              </w:rPr>
              <w:t>   </w:t>
            </w:r>
          </w:p>
          <w:p w:rsidR="006F2058" w:rsidRDefault="006F2058" w:rsidP="00E56209">
            <w:pPr>
              <w:rPr>
                <w:sz w:val="26"/>
                <w:szCs w:val="26"/>
              </w:rPr>
            </w:pPr>
          </w:p>
          <w:p w:rsidR="006F2058" w:rsidRDefault="006F2058" w:rsidP="00E56209">
            <w:pPr>
              <w:rPr>
                <w:sz w:val="26"/>
                <w:szCs w:val="26"/>
              </w:rPr>
            </w:pPr>
          </w:p>
          <w:p w:rsidR="006F2058" w:rsidRDefault="006F2058" w:rsidP="00E56209">
            <w:pPr>
              <w:rPr>
                <w:sz w:val="26"/>
                <w:szCs w:val="26"/>
              </w:rPr>
            </w:pPr>
          </w:p>
          <w:p w:rsidR="0065288B" w:rsidRDefault="0065288B" w:rsidP="00E56209">
            <w:pPr>
              <w:rPr>
                <w:sz w:val="26"/>
                <w:szCs w:val="26"/>
              </w:rPr>
            </w:pPr>
          </w:p>
          <w:p w:rsidR="001A1D26" w:rsidRDefault="001A1D26" w:rsidP="00E56209">
            <w:pPr>
              <w:rPr>
                <w:sz w:val="26"/>
                <w:szCs w:val="26"/>
              </w:rPr>
            </w:pPr>
          </w:p>
          <w:p w:rsidR="001A1D26" w:rsidRDefault="001A1D26" w:rsidP="00E56209">
            <w:pPr>
              <w:rPr>
                <w:sz w:val="26"/>
                <w:szCs w:val="26"/>
              </w:rPr>
            </w:pPr>
          </w:p>
          <w:p w:rsidR="001A1D26" w:rsidRDefault="001A1D26" w:rsidP="00E56209">
            <w:pPr>
              <w:rPr>
                <w:sz w:val="26"/>
                <w:szCs w:val="26"/>
              </w:rPr>
            </w:pPr>
          </w:p>
          <w:p w:rsidR="001A1D26" w:rsidRDefault="001A1D26" w:rsidP="00E56209">
            <w:pPr>
              <w:rPr>
                <w:sz w:val="26"/>
                <w:szCs w:val="26"/>
              </w:rPr>
            </w:pPr>
          </w:p>
          <w:p w:rsidR="00A370D9" w:rsidRPr="00E3758B" w:rsidRDefault="00E56209" w:rsidP="00E56209">
            <w:pPr>
              <w:rPr>
                <w:sz w:val="26"/>
                <w:szCs w:val="26"/>
              </w:rPr>
            </w:pPr>
            <w:r w:rsidRPr="00E3758B">
              <w:rPr>
                <w:sz w:val="26"/>
                <w:szCs w:val="26"/>
              </w:rPr>
              <w:t>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1430FD" w:rsidRPr="00E3758B" w:rsidRDefault="00A370D9" w:rsidP="00E56209">
            <w:pPr>
              <w:rPr>
                <w:sz w:val="26"/>
                <w:szCs w:val="26"/>
              </w:rPr>
            </w:pPr>
            <w:r w:rsidRPr="00E3758B">
              <w:rPr>
                <w:sz w:val="26"/>
                <w:szCs w:val="26"/>
              </w:rPr>
              <w:t xml:space="preserve">    </w:t>
            </w:r>
          </w:p>
          <w:p w:rsidR="006F2058" w:rsidRDefault="006F2058" w:rsidP="00E56209">
            <w:pPr>
              <w:rPr>
                <w:sz w:val="26"/>
                <w:szCs w:val="26"/>
                <w:u w:val="single"/>
              </w:rPr>
            </w:pPr>
          </w:p>
          <w:p w:rsidR="006F2058" w:rsidRDefault="006F2058" w:rsidP="00E56209">
            <w:pPr>
              <w:rPr>
                <w:sz w:val="26"/>
                <w:szCs w:val="26"/>
                <w:u w:val="single"/>
              </w:rPr>
            </w:pPr>
          </w:p>
          <w:p w:rsidR="006F2058" w:rsidRDefault="006F2058" w:rsidP="00E56209">
            <w:pPr>
              <w:rPr>
                <w:sz w:val="26"/>
                <w:szCs w:val="26"/>
                <w:u w:val="single"/>
              </w:rPr>
            </w:pPr>
          </w:p>
          <w:p w:rsidR="002E3D61" w:rsidRDefault="002E3D61" w:rsidP="00E56209">
            <w:pPr>
              <w:rPr>
                <w:sz w:val="26"/>
                <w:szCs w:val="26"/>
                <w:u w:val="single"/>
              </w:rPr>
            </w:pPr>
          </w:p>
          <w:p w:rsidR="001A1D26" w:rsidRDefault="001A1D26" w:rsidP="00E56209">
            <w:pPr>
              <w:rPr>
                <w:sz w:val="26"/>
                <w:szCs w:val="26"/>
                <w:u w:val="single"/>
              </w:rPr>
            </w:pPr>
          </w:p>
          <w:p w:rsidR="001A1D26" w:rsidRDefault="001A1D26" w:rsidP="00E56209">
            <w:pPr>
              <w:rPr>
                <w:sz w:val="26"/>
                <w:szCs w:val="26"/>
                <w:u w:val="single"/>
              </w:rPr>
            </w:pPr>
          </w:p>
          <w:p w:rsidR="001A1D26" w:rsidRDefault="001A1D26" w:rsidP="00E56209">
            <w:pPr>
              <w:rPr>
                <w:sz w:val="26"/>
                <w:szCs w:val="26"/>
                <w:u w:val="single"/>
              </w:rPr>
            </w:pPr>
          </w:p>
          <w:p w:rsidR="001A1D26" w:rsidRDefault="001A1D26" w:rsidP="00E56209">
            <w:pPr>
              <w:rPr>
                <w:sz w:val="26"/>
                <w:szCs w:val="26"/>
                <w:u w:val="single"/>
              </w:rPr>
            </w:pPr>
          </w:p>
          <w:p w:rsidR="006F2058" w:rsidRPr="006F2058" w:rsidRDefault="006F2058" w:rsidP="00E56209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Лузанова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Оксана Вячеславовна</w:t>
            </w:r>
          </w:p>
        </w:tc>
      </w:tr>
      <w:tr w:rsidR="004B68CE" w:rsidRPr="00E3758B" w:rsidTr="006F2058">
        <w:tc>
          <w:tcPr>
            <w:tcW w:w="3570" w:type="dxa"/>
            <w:shd w:val="clear" w:color="auto" w:fill="FFFFFF"/>
            <w:hideMark/>
          </w:tcPr>
          <w:p w:rsidR="00A370D9" w:rsidRPr="00E3758B" w:rsidRDefault="00A370D9" w:rsidP="00E56209">
            <w:pPr>
              <w:rPr>
                <w:sz w:val="26"/>
                <w:szCs w:val="26"/>
              </w:rPr>
            </w:pPr>
            <w:r w:rsidRPr="00E3758B">
              <w:rPr>
                <w:sz w:val="26"/>
                <w:szCs w:val="26"/>
              </w:rPr>
              <w:t>   </w:t>
            </w:r>
          </w:p>
        </w:tc>
        <w:tc>
          <w:tcPr>
            <w:tcW w:w="2139" w:type="dxa"/>
            <w:shd w:val="clear" w:color="auto" w:fill="FFFFFF"/>
            <w:hideMark/>
          </w:tcPr>
          <w:p w:rsidR="00A370D9" w:rsidRPr="006F2058" w:rsidRDefault="00A370D9" w:rsidP="00E56209">
            <w:r w:rsidRPr="006F2058"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:rsidR="00A370D9" w:rsidRPr="006F2058" w:rsidRDefault="00A370D9" w:rsidP="00E56209">
            <w:r w:rsidRPr="006F2058">
              <w:t>(фамилия, имя, отчество)</w:t>
            </w:r>
          </w:p>
        </w:tc>
      </w:tr>
    </w:tbl>
    <w:p w:rsidR="00A370D9" w:rsidRPr="00E3758B" w:rsidRDefault="00A370D9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  <w:highlight w:val="yellow"/>
          <w:shd w:val="clear" w:color="auto" w:fill="F5F5F5"/>
        </w:rPr>
      </w:pPr>
    </w:p>
    <w:p w:rsidR="00A370D9" w:rsidRPr="00E3758B" w:rsidRDefault="00A370D9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  <w:highlight w:val="yellow"/>
          <w:shd w:val="clear" w:color="auto" w:fill="F5F5F5"/>
        </w:rPr>
      </w:pPr>
    </w:p>
    <w:p w:rsidR="00362628" w:rsidRPr="00E3758B" w:rsidRDefault="00362628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  <w:highlight w:val="yellow"/>
          <w:shd w:val="clear" w:color="auto" w:fill="F5F5F5"/>
        </w:rPr>
      </w:pPr>
    </w:p>
    <w:p w:rsidR="00362628" w:rsidRPr="00E3758B" w:rsidRDefault="00362628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  <w:highlight w:val="yellow"/>
          <w:shd w:val="clear" w:color="auto" w:fill="F5F5F5"/>
        </w:rPr>
      </w:pPr>
    </w:p>
    <w:p w:rsidR="007C4A97" w:rsidRDefault="007C4A97" w:rsidP="00390308">
      <w:pPr>
        <w:autoSpaceDE w:val="0"/>
        <w:autoSpaceDN w:val="0"/>
        <w:adjustRightInd w:val="0"/>
        <w:spacing w:line="276" w:lineRule="auto"/>
        <w:ind w:left="-567" w:firstLine="425"/>
        <w:jc w:val="center"/>
        <w:rPr>
          <w:b/>
          <w:sz w:val="28"/>
          <w:szCs w:val="28"/>
        </w:rPr>
      </w:pPr>
    </w:p>
    <w:p w:rsidR="004C0E41" w:rsidRDefault="004C0E41" w:rsidP="00390308">
      <w:pPr>
        <w:autoSpaceDE w:val="0"/>
        <w:autoSpaceDN w:val="0"/>
        <w:adjustRightInd w:val="0"/>
        <w:spacing w:line="276" w:lineRule="auto"/>
        <w:ind w:left="-567" w:firstLine="425"/>
        <w:jc w:val="center"/>
        <w:rPr>
          <w:b/>
          <w:sz w:val="28"/>
          <w:szCs w:val="28"/>
        </w:rPr>
      </w:pPr>
    </w:p>
    <w:p w:rsidR="007C4A97" w:rsidRDefault="007C4A97" w:rsidP="00390308">
      <w:pPr>
        <w:autoSpaceDE w:val="0"/>
        <w:autoSpaceDN w:val="0"/>
        <w:adjustRightInd w:val="0"/>
        <w:spacing w:line="276" w:lineRule="auto"/>
        <w:ind w:left="-567" w:firstLine="425"/>
        <w:jc w:val="center"/>
        <w:rPr>
          <w:b/>
          <w:sz w:val="28"/>
          <w:szCs w:val="28"/>
        </w:rPr>
      </w:pPr>
    </w:p>
    <w:p w:rsidR="0094286A" w:rsidRPr="0065288B" w:rsidRDefault="00402B66" w:rsidP="00402B66">
      <w:pPr>
        <w:autoSpaceDE w:val="0"/>
        <w:autoSpaceDN w:val="0"/>
        <w:adjustRightInd w:val="0"/>
        <w:spacing w:line="276" w:lineRule="auto"/>
        <w:ind w:left="-567" w:firstLine="425"/>
        <w:rPr>
          <w:b/>
          <w:sz w:val="28"/>
          <w:szCs w:val="28"/>
          <w:shd w:val="clear" w:color="auto" w:fill="F5F5F5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94286A" w:rsidRPr="0065288B">
        <w:rPr>
          <w:b/>
          <w:sz w:val="28"/>
          <w:szCs w:val="28"/>
        </w:rPr>
        <w:t>Пояснительная записка</w:t>
      </w:r>
    </w:p>
    <w:p w:rsidR="0094286A" w:rsidRDefault="0094286A" w:rsidP="00390308">
      <w:pPr>
        <w:shd w:val="clear" w:color="auto" w:fill="FFFFFF"/>
        <w:spacing w:after="255" w:line="276" w:lineRule="auto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65288B">
        <w:rPr>
          <w:b/>
          <w:bCs/>
          <w:color w:val="000000" w:themeColor="text1"/>
          <w:sz w:val="28"/>
          <w:szCs w:val="28"/>
        </w:rPr>
        <w:t>к отчету о результатах контрольной деятельности органа внутреннего государственного (муниципального) финансового контроля</w:t>
      </w:r>
    </w:p>
    <w:p w:rsidR="004C0E41" w:rsidRPr="0065288B" w:rsidRDefault="004C0E41" w:rsidP="00390308">
      <w:pPr>
        <w:shd w:val="clear" w:color="auto" w:fill="FFFFFF"/>
        <w:spacing w:after="255" w:line="276" w:lineRule="auto"/>
        <w:jc w:val="center"/>
        <w:outlineLvl w:val="2"/>
        <w:rPr>
          <w:b/>
          <w:bCs/>
          <w:color w:val="000000" w:themeColor="text1"/>
          <w:sz w:val="28"/>
          <w:szCs w:val="28"/>
        </w:rPr>
      </w:pPr>
    </w:p>
    <w:p w:rsidR="00B10115" w:rsidRPr="00E3758B" w:rsidRDefault="00B10115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  <w:proofErr w:type="gramStart"/>
      <w:r w:rsidRPr="00E3758B">
        <w:rPr>
          <w:sz w:val="26"/>
          <w:szCs w:val="26"/>
        </w:rPr>
        <w:t xml:space="preserve">Отчет о результатах контрольной деятельности органа внутреннего муниципального финансового контроля администрации </w:t>
      </w:r>
      <w:r w:rsidR="002E3D61">
        <w:rPr>
          <w:sz w:val="26"/>
          <w:szCs w:val="26"/>
        </w:rPr>
        <w:t>Сарпинского</w:t>
      </w:r>
      <w:r w:rsidR="00FB1375" w:rsidRPr="00E3758B">
        <w:rPr>
          <w:sz w:val="26"/>
          <w:szCs w:val="26"/>
        </w:rPr>
        <w:t xml:space="preserve"> </w:t>
      </w:r>
      <w:r w:rsidRPr="00E3758B">
        <w:rPr>
          <w:sz w:val="26"/>
          <w:szCs w:val="26"/>
        </w:rPr>
        <w:t xml:space="preserve"> </w:t>
      </w:r>
      <w:r w:rsidR="005E6E32">
        <w:rPr>
          <w:sz w:val="26"/>
          <w:szCs w:val="26"/>
        </w:rPr>
        <w:t>районного муниципального образования Республики К</w:t>
      </w:r>
      <w:r w:rsidR="002E3D61">
        <w:rPr>
          <w:sz w:val="26"/>
          <w:szCs w:val="26"/>
        </w:rPr>
        <w:t>алмыкия</w:t>
      </w:r>
      <w:r w:rsidR="00FB1375" w:rsidRPr="00E3758B">
        <w:rPr>
          <w:sz w:val="26"/>
          <w:szCs w:val="26"/>
        </w:rPr>
        <w:t xml:space="preserve"> </w:t>
      </w:r>
      <w:r w:rsidRPr="00E3758B">
        <w:rPr>
          <w:sz w:val="26"/>
          <w:szCs w:val="26"/>
        </w:rPr>
        <w:t>за 202</w:t>
      </w:r>
      <w:r w:rsidR="002E3D61">
        <w:rPr>
          <w:sz w:val="26"/>
          <w:szCs w:val="26"/>
        </w:rPr>
        <w:t>3</w:t>
      </w:r>
      <w:r w:rsidRPr="00E3758B">
        <w:rPr>
          <w:sz w:val="26"/>
          <w:szCs w:val="26"/>
        </w:rPr>
        <w:t xml:space="preserve"> год подготовлен в соответствии с требованиями утвержденного постановлением Правительства РФ от 16.09.2020 №</w:t>
      </w:r>
      <w:r w:rsidR="002E3D61">
        <w:rPr>
          <w:sz w:val="26"/>
          <w:szCs w:val="26"/>
        </w:rPr>
        <w:t xml:space="preserve"> </w:t>
      </w:r>
      <w:r w:rsidRPr="00E3758B">
        <w:rPr>
          <w:sz w:val="26"/>
          <w:szCs w:val="26"/>
        </w:rPr>
        <w:t xml:space="preserve">1478 </w:t>
      </w:r>
      <w:r w:rsidR="005518AE" w:rsidRPr="00E3758B">
        <w:rPr>
          <w:sz w:val="26"/>
          <w:szCs w:val="26"/>
        </w:rPr>
        <w:t>Ф</w:t>
      </w:r>
      <w:r w:rsidRPr="00E3758B">
        <w:rPr>
          <w:sz w:val="26"/>
          <w:szCs w:val="26"/>
        </w:rPr>
        <w:t>едерального стандарта «Правила составления отчетности о резуль</w:t>
      </w:r>
      <w:r w:rsidR="00B0172E" w:rsidRPr="00E3758B">
        <w:rPr>
          <w:sz w:val="26"/>
          <w:szCs w:val="26"/>
        </w:rPr>
        <w:t xml:space="preserve">татах контрольной деятельности», руководствуясь </w:t>
      </w:r>
      <w:r w:rsidR="005D31BE" w:rsidRPr="00E3758B">
        <w:rPr>
          <w:sz w:val="26"/>
          <w:szCs w:val="26"/>
        </w:rPr>
        <w:t>М</w:t>
      </w:r>
      <w:r w:rsidR="00B0172E" w:rsidRPr="00E3758B">
        <w:rPr>
          <w:sz w:val="26"/>
          <w:szCs w:val="26"/>
        </w:rPr>
        <w:t>етодическими рекомендациями</w:t>
      </w:r>
      <w:r w:rsidR="005D31BE" w:rsidRPr="00E3758B">
        <w:rPr>
          <w:sz w:val="26"/>
          <w:szCs w:val="26"/>
        </w:rPr>
        <w:t xml:space="preserve"> Минфина России по составлению и предоставлению отчетности о результатах контрольной деятельности органов внутреннего государственного (муниципального) финансового</w:t>
      </w:r>
      <w:proofErr w:type="gramEnd"/>
      <w:r w:rsidR="005D31BE" w:rsidRPr="00E3758B">
        <w:rPr>
          <w:sz w:val="26"/>
          <w:szCs w:val="26"/>
        </w:rPr>
        <w:t xml:space="preserve"> контроля, </w:t>
      </w:r>
      <w:proofErr w:type="gramStart"/>
      <w:r w:rsidR="005D31BE" w:rsidRPr="00E3758B">
        <w:rPr>
          <w:sz w:val="26"/>
          <w:szCs w:val="26"/>
        </w:rPr>
        <w:t>утвержденных</w:t>
      </w:r>
      <w:proofErr w:type="gramEnd"/>
      <w:r w:rsidR="005D31BE" w:rsidRPr="00E3758B">
        <w:rPr>
          <w:sz w:val="26"/>
          <w:szCs w:val="26"/>
        </w:rPr>
        <w:t xml:space="preserve"> Приказом Минфина России от 01.12.2021 №</w:t>
      </w:r>
      <w:r w:rsidR="002E3D61">
        <w:rPr>
          <w:sz w:val="26"/>
          <w:szCs w:val="26"/>
        </w:rPr>
        <w:t xml:space="preserve"> </w:t>
      </w:r>
      <w:r w:rsidR="005D31BE" w:rsidRPr="00E3758B">
        <w:rPr>
          <w:sz w:val="26"/>
          <w:szCs w:val="26"/>
        </w:rPr>
        <w:t>540.</w:t>
      </w:r>
      <w:r w:rsidR="002E3D61">
        <w:rPr>
          <w:sz w:val="26"/>
          <w:szCs w:val="26"/>
        </w:rPr>
        <w:t xml:space="preserve"> </w:t>
      </w:r>
      <w:r w:rsidR="00FB1375" w:rsidRPr="00E3758B">
        <w:rPr>
          <w:sz w:val="26"/>
          <w:szCs w:val="26"/>
        </w:rPr>
        <w:t>Отчет подготовлен с целью раскрытия информации о полноте и своевременности выполнения плана контрольных мероприятий по осуществлению внутреннего муниципального финансового контроля,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FB1375" w:rsidRPr="00E3758B" w:rsidRDefault="00FB1375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  <w:r w:rsidRPr="00E3758B">
        <w:rPr>
          <w:sz w:val="26"/>
          <w:szCs w:val="26"/>
        </w:rPr>
        <w:t>Внутренний муниципальный финансовый контроль</w:t>
      </w:r>
      <w:r w:rsidR="005D31BE" w:rsidRPr="00E3758B">
        <w:rPr>
          <w:sz w:val="26"/>
          <w:szCs w:val="26"/>
        </w:rPr>
        <w:t>и</w:t>
      </w:r>
      <w:r w:rsidRPr="00E3758B">
        <w:rPr>
          <w:sz w:val="26"/>
          <w:szCs w:val="26"/>
        </w:rPr>
        <w:t>контроль в сфере закупок осуществлялся в 202</w:t>
      </w:r>
      <w:r w:rsidR="002E3D61">
        <w:rPr>
          <w:sz w:val="26"/>
          <w:szCs w:val="26"/>
        </w:rPr>
        <w:t>3</w:t>
      </w:r>
      <w:r w:rsidRPr="00E3758B">
        <w:rPr>
          <w:sz w:val="26"/>
          <w:szCs w:val="26"/>
        </w:rPr>
        <w:t xml:space="preserve"> году во исполнение статьи 269.2 Бюджетного кодекса Российской Федерации,  статьи 99</w:t>
      </w:r>
      <w:r w:rsidR="002E3D61">
        <w:rPr>
          <w:sz w:val="26"/>
          <w:szCs w:val="26"/>
        </w:rPr>
        <w:t xml:space="preserve"> </w:t>
      </w:r>
      <w:r w:rsidRPr="00E3758B">
        <w:rPr>
          <w:sz w:val="26"/>
          <w:szCs w:val="26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1485C" w:rsidRPr="00E3758B" w:rsidRDefault="00B10115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  <w:r w:rsidRPr="00E3758B">
        <w:rPr>
          <w:sz w:val="26"/>
          <w:szCs w:val="26"/>
        </w:rPr>
        <w:t xml:space="preserve">Общая штатная численность </w:t>
      </w:r>
      <w:r w:rsidR="00EF7FF1" w:rsidRPr="00E3758B">
        <w:rPr>
          <w:sz w:val="26"/>
          <w:szCs w:val="26"/>
        </w:rPr>
        <w:t xml:space="preserve">органа </w:t>
      </w:r>
      <w:r w:rsidRPr="00E3758B">
        <w:rPr>
          <w:sz w:val="26"/>
          <w:szCs w:val="26"/>
        </w:rPr>
        <w:t xml:space="preserve"> внутреннего муниципального финансового контроля составляет </w:t>
      </w:r>
      <w:r w:rsidR="00EF7FF1" w:rsidRPr="00E3758B">
        <w:rPr>
          <w:sz w:val="26"/>
          <w:szCs w:val="26"/>
        </w:rPr>
        <w:t>1</w:t>
      </w:r>
      <w:r w:rsidRPr="00E3758B">
        <w:rPr>
          <w:sz w:val="26"/>
          <w:szCs w:val="26"/>
        </w:rPr>
        <w:t xml:space="preserve"> </w:t>
      </w:r>
      <w:r w:rsidR="002E3D61">
        <w:rPr>
          <w:sz w:val="26"/>
          <w:szCs w:val="26"/>
        </w:rPr>
        <w:t xml:space="preserve">шт. </w:t>
      </w:r>
      <w:r w:rsidRPr="00E3758B">
        <w:rPr>
          <w:sz w:val="26"/>
          <w:szCs w:val="26"/>
        </w:rPr>
        <w:t xml:space="preserve">ед. </w:t>
      </w:r>
      <w:r w:rsidR="001139B2" w:rsidRPr="00E3758B">
        <w:rPr>
          <w:sz w:val="26"/>
          <w:szCs w:val="26"/>
        </w:rPr>
        <w:t xml:space="preserve"> Для проведения своей деятельности </w:t>
      </w:r>
      <w:r w:rsidR="00114100" w:rsidRPr="00E3758B">
        <w:rPr>
          <w:sz w:val="26"/>
          <w:szCs w:val="26"/>
        </w:rPr>
        <w:t>о</w:t>
      </w:r>
      <w:r w:rsidR="001139B2" w:rsidRPr="00E3758B">
        <w:rPr>
          <w:sz w:val="26"/>
          <w:szCs w:val="26"/>
        </w:rPr>
        <w:t xml:space="preserve">рган контроля обеспечен необходимыми материальными и техническими ресурсами, </w:t>
      </w:r>
      <w:r w:rsidR="00EF7FF1" w:rsidRPr="00E3758B">
        <w:rPr>
          <w:sz w:val="26"/>
          <w:szCs w:val="26"/>
        </w:rPr>
        <w:t>объем бюджетных средств, затраченных на содержание органа контроля, на реализацию органом контроля полномочий по осуществлению внутреннего муниципального финансового контроля за 202</w:t>
      </w:r>
      <w:r w:rsidR="002E3D61">
        <w:rPr>
          <w:sz w:val="26"/>
          <w:szCs w:val="26"/>
        </w:rPr>
        <w:t>3</w:t>
      </w:r>
      <w:r w:rsidR="00EF7FF1" w:rsidRPr="00E3758B">
        <w:rPr>
          <w:sz w:val="26"/>
          <w:szCs w:val="26"/>
        </w:rPr>
        <w:t xml:space="preserve"> год составил </w:t>
      </w:r>
      <w:r w:rsidR="001E064B">
        <w:rPr>
          <w:sz w:val="26"/>
          <w:szCs w:val="26"/>
        </w:rPr>
        <w:t>230,</w:t>
      </w:r>
      <w:r w:rsidR="001E064B" w:rsidRPr="001E064B">
        <w:rPr>
          <w:sz w:val="26"/>
          <w:szCs w:val="26"/>
        </w:rPr>
        <w:t>5</w:t>
      </w:r>
      <w:r w:rsidR="002E3D61" w:rsidRPr="001E064B">
        <w:rPr>
          <w:sz w:val="26"/>
          <w:szCs w:val="26"/>
        </w:rPr>
        <w:t xml:space="preserve"> тыс. руб</w:t>
      </w:r>
      <w:r w:rsidR="00EF7FF1" w:rsidRPr="001E064B">
        <w:rPr>
          <w:sz w:val="26"/>
          <w:szCs w:val="26"/>
        </w:rPr>
        <w:t>.</w:t>
      </w:r>
      <w:r w:rsidR="002E3D61">
        <w:rPr>
          <w:sz w:val="26"/>
          <w:szCs w:val="26"/>
        </w:rPr>
        <w:t xml:space="preserve"> </w:t>
      </w:r>
      <w:r w:rsidRPr="00E3758B">
        <w:rPr>
          <w:sz w:val="26"/>
          <w:szCs w:val="26"/>
        </w:rPr>
        <w:t>Независимые эксперты (специализированные экспертные организации) к проведению контрольных мероприятий в отчетном периоде не привлекались.</w:t>
      </w:r>
      <w:r w:rsidR="002E3D61">
        <w:rPr>
          <w:sz w:val="26"/>
          <w:szCs w:val="26"/>
        </w:rPr>
        <w:t xml:space="preserve"> С 01 июня 2023г. </w:t>
      </w:r>
      <w:r w:rsidR="002E3D61" w:rsidRPr="005E6E32">
        <w:rPr>
          <w:color w:val="000000"/>
          <w:sz w:val="26"/>
          <w:szCs w:val="26"/>
        </w:rPr>
        <w:t>с</w:t>
      </w:r>
      <w:r w:rsidR="002E497D" w:rsidRPr="005E6E32">
        <w:rPr>
          <w:sz w:val="26"/>
          <w:szCs w:val="26"/>
        </w:rPr>
        <w:t xml:space="preserve">отрудник </w:t>
      </w:r>
      <w:r w:rsidR="00114100" w:rsidRPr="005E6E32">
        <w:rPr>
          <w:sz w:val="26"/>
          <w:szCs w:val="26"/>
        </w:rPr>
        <w:t>о</w:t>
      </w:r>
      <w:r w:rsidR="002E497D" w:rsidRPr="005E6E32">
        <w:rPr>
          <w:sz w:val="26"/>
          <w:szCs w:val="26"/>
        </w:rPr>
        <w:t xml:space="preserve">ргана контроля </w:t>
      </w:r>
      <w:r w:rsidR="005E6E32" w:rsidRPr="005E6E32">
        <w:rPr>
          <w:sz w:val="26"/>
          <w:szCs w:val="26"/>
        </w:rPr>
        <w:t>сл</w:t>
      </w:r>
      <w:r w:rsidR="002E3D61" w:rsidRPr="005E6E32">
        <w:rPr>
          <w:sz w:val="26"/>
          <w:szCs w:val="26"/>
        </w:rPr>
        <w:t>ожила свои полномочия в связи с переходом на другую работу</w:t>
      </w:r>
      <w:r w:rsidR="005E6E32" w:rsidRPr="005E6E32">
        <w:rPr>
          <w:sz w:val="26"/>
          <w:szCs w:val="26"/>
        </w:rPr>
        <w:t>. Полномочия по</w:t>
      </w:r>
      <w:r w:rsidR="005E6E32">
        <w:rPr>
          <w:sz w:val="26"/>
          <w:szCs w:val="26"/>
        </w:rPr>
        <w:t xml:space="preserve"> проведению </w:t>
      </w:r>
      <w:r w:rsidR="005E6E32" w:rsidRPr="00E3758B">
        <w:rPr>
          <w:sz w:val="26"/>
          <w:szCs w:val="26"/>
        </w:rPr>
        <w:t>внутреннего муниципального финансового контроля</w:t>
      </w:r>
      <w:r w:rsidR="005E6E32">
        <w:rPr>
          <w:sz w:val="26"/>
          <w:szCs w:val="26"/>
        </w:rPr>
        <w:t xml:space="preserve"> частично (0,5 шт. ед.) возложены на главного специалиста отдела ФЭП и ЦБУ администрации Сарпинского РМО РК.</w:t>
      </w:r>
    </w:p>
    <w:p w:rsidR="00A56EF3" w:rsidRPr="00E3758B" w:rsidRDefault="00A56EF3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</w:p>
    <w:p w:rsidR="00BB4A3F" w:rsidRDefault="00BB4A3F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  <w:r w:rsidRPr="00E3758B">
        <w:rPr>
          <w:sz w:val="26"/>
          <w:szCs w:val="26"/>
        </w:rPr>
        <w:t>В 202</w:t>
      </w:r>
      <w:r w:rsidR="005E6E32">
        <w:rPr>
          <w:sz w:val="26"/>
          <w:szCs w:val="26"/>
        </w:rPr>
        <w:t>3</w:t>
      </w:r>
      <w:r w:rsidRPr="00E3758B">
        <w:rPr>
          <w:sz w:val="26"/>
          <w:szCs w:val="26"/>
        </w:rPr>
        <w:t xml:space="preserve"> году </w:t>
      </w:r>
      <w:r w:rsidR="005E6E32">
        <w:rPr>
          <w:sz w:val="26"/>
          <w:szCs w:val="26"/>
        </w:rPr>
        <w:t xml:space="preserve">в план контрольных мероприятий по осуществлению </w:t>
      </w:r>
      <w:r w:rsidR="005E6E32" w:rsidRPr="00E3758B">
        <w:rPr>
          <w:sz w:val="26"/>
          <w:szCs w:val="26"/>
        </w:rPr>
        <w:t>внутреннего муниципального финансового контроля</w:t>
      </w:r>
      <w:r w:rsidR="00F122A7">
        <w:rPr>
          <w:sz w:val="26"/>
          <w:szCs w:val="26"/>
        </w:rPr>
        <w:t xml:space="preserve"> </w:t>
      </w:r>
      <w:r w:rsidR="005E6E32">
        <w:rPr>
          <w:sz w:val="26"/>
          <w:szCs w:val="26"/>
        </w:rPr>
        <w:t xml:space="preserve"> были внесены изменения на основании Распоряжения администрации Сарпинского РМО РК №</w:t>
      </w:r>
      <w:r w:rsidR="00F122A7">
        <w:rPr>
          <w:sz w:val="26"/>
          <w:szCs w:val="26"/>
        </w:rPr>
        <w:t xml:space="preserve"> </w:t>
      </w:r>
      <w:r w:rsidR="005E6E32">
        <w:rPr>
          <w:sz w:val="26"/>
          <w:szCs w:val="26"/>
        </w:rPr>
        <w:t xml:space="preserve">159-р от 31.08.2023г. Было уменьшено количество контрольных мероприятий с </w:t>
      </w:r>
      <w:r w:rsidR="00F122A7">
        <w:rPr>
          <w:sz w:val="26"/>
          <w:szCs w:val="26"/>
        </w:rPr>
        <w:t>6</w:t>
      </w:r>
      <w:r w:rsidR="005E6E32">
        <w:rPr>
          <w:sz w:val="26"/>
          <w:szCs w:val="26"/>
        </w:rPr>
        <w:t xml:space="preserve"> до</w:t>
      </w:r>
      <w:r w:rsidR="00F122A7">
        <w:rPr>
          <w:sz w:val="26"/>
          <w:szCs w:val="26"/>
        </w:rPr>
        <w:t xml:space="preserve"> 3</w:t>
      </w:r>
      <w:r w:rsidR="005E6E32">
        <w:rPr>
          <w:sz w:val="26"/>
          <w:szCs w:val="26"/>
        </w:rPr>
        <w:t xml:space="preserve"> в связи с неполным замещением должности</w:t>
      </w:r>
      <w:r w:rsidR="001A1D26">
        <w:rPr>
          <w:sz w:val="26"/>
          <w:szCs w:val="26"/>
        </w:rPr>
        <w:t xml:space="preserve"> специалиста по внутреннему финансовому (муниципальному) контролю. </w:t>
      </w:r>
      <w:r w:rsidR="00F122A7">
        <w:rPr>
          <w:sz w:val="26"/>
          <w:szCs w:val="26"/>
        </w:rPr>
        <w:t xml:space="preserve"> За 2023 год </w:t>
      </w:r>
      <w:r w:rsidR="00830683">
        <w:rPr>
          <w:sz w:val="26"/>
          <w:szCs w:val="26"/>
        </w:rPr>
        <w:t xml:space="preserve"> </w:t>
      </w:r>
      <w:r w:rsidRPr="00E3758B">
        <w:rPr>
          <w:sz w:val="26"/>
          <w:szCs w:val="26"/>
        </w:rPr>
        <w:t xml:space="preserve">проведено </w:t>
      </w:r>
      <w:r w:rsidR="00F122A7">
        <w:rPr>
          <w:sz w:val="26"/>
          <w:szCs w:val="26"/>
        </w:rPr>
        <w:t>3</w:t>
      </w:r>
      <w:r w:rsidR="00820C93" w:rsidRPr="00E3758B">
        <w:rPr>
          <w:sz w:val="26"/>
          <w:szCs w:val="26"/>
        </w:rPr>
        <w:t xml:space="preserve"> </w:t>
      </w:r>
      <w:proofErr w:type="gramStart"/>
      <w:r w:rsidR="00820C93" w:rsidRPr="00E3758B">
        <w:rPr>
          <w:sz w:val="26"/>
          <w:szCs w:val="26"/>
        </w:rPr>
        <w:t>плановы</w:t>
      </w:r>
      <w:r w:rsidR="00F122A7">
        <w:rPr>
          <w:sz w:val="26"/>
          <w:szCs w:val="26"/>
        </w:rPr>
        <w:t>х</w:t>
      </w:r>
      <w:proofErr w:type="gramEnd"/>
      <w:r w:rsidRPr="00E3758B">
        <w:rPr>
          <w:sz w:val="26"/>
          <w:szCs w:val="26"/>
        </w:rPr>
        <w:t xml:space="preserve"> контрольных мероприяти</w:t>
      </w:r>
      <w:r w:rsidR="00F122A7">
        <w:rPr>
          <w:sz w:val="26"/>
          <w:szCs w:val="26"/>
        </w:rPr>
        <w:t xml:space="preserve">я </w:t>
      </w:r>
      <w:r w:rsidR="00F22E5C" w:rsidRPr="00E3758B">
        <w:rPr>
          <w:sz w:val="26"/>
          <w:szCs w:val="26"/>
        </w:rPr>
        <w:t xml:space="preserve">по </w:t>
      </w:r>
      <w:r w:rsidR="00F22E5C" w:rsidRPr="00E3758B">
        <w:rPr>
          <w:sz w:val="26"/>
          <w:szCs w:val="26"/>
        </w:rPr>
        <w:lastRenderedPageBreak/>
        <w:t>внутренн</w:t>
      </w:r>
      <w:r w:rsidR="00114100" w:rsidRPr="00E3758B">
        <w:rPr>
          <w:sz w:val="26"/>
          <w:szCs w:val="26"/>
        </w:rPr>
        <w:t>ему</w:t>
      </w:r>
      <w:r w:rsidR="00F22E5C" w:rsidRPr="00E3758B">
        <w:rPr>
          <w:sz w:val="26"/>
          <w:szCs w:val="26"/>
        </w:rPr>
        <w:t xml:space="preserve"> муниципальному финансовому контролю</w:t>
      </w:r>
      <w:r w:rsidRPr="00E3758B">
        <w:rPr>
          <w:sz w:val="26"/>
          <w:szCs w:val="26"/>
        </w:rPr>
        <w:t>.  План контрольных мероприятий выполнен в полном объеме</w:t>
      </w:r>
      <w:r w:rsidR="00F122A7">
        <w:rPr>
          <w:sz w:val="26"/>
          <w:szCs w:val="26"/>
        </w:rPr>
        <w:t>.</w:t>
      </w:r>
    </w:p>
    <w:p w:rsidR="00F122A7" w:rsidRPr="00E3758B" w:rsidRDefault="00F122A7" w:rsidP="0092309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702"/>
        <w:gridCol w:w="1700"/>
        <w:gridCol w:w="2410"/>
      </w:tblGrid>
      <w:tr w:rsidR="00A6587D" w:rsidRPr="00E3758B" w:rsidTr="00B544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D" w:rsidRPr="00830683" w:rsidRDefault="00A6587D" w:rsidP="00A401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683">
              <w:rPr>
                <w:b/>
                <w:sz w:val="24"/>
                <w:szCs w:val="24"/>
              </w:rPr>
              <w:t>Наименование</w:t>
            </w:r>
          </w:p>
          <w:p w:rsidR="006E0EF4" w:rsidRDefault="006E0EF4" w:rsidP="00A401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683">
              <w:rPr>
                <w:b/>
                <w:sz w:val="24"/>
                <w:szCs w:val="24"/>
              </w:rPr>
              <w:t>О</w:t>
            </w:r>
            <w:r w:rsidR="00A6587D" w:rsidRPr="00830683">
              <w:rPr>
                <w:b/>
                <w:sz w:val="24"/>
                <w:szCs w:val="24"/>
              </w:rPr>
              <w:t>бъекта</w:t>
            </w:r>
            <w:r>
              <w:rPr>
                <w:b/>
                <w:sz w:val="24"/>
                <w:szCs w:val="24"/>
              </w:rPr>
              <w:t>,</w:t>
            </w:r>
          </w:p>
          <w:p w:rsidR="00A6587D" w:rsidRPr="00830683" w:rsidRDefault="00A6587D" w:rsidP="00A401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0683">
              <w:rPr>
                <w:b/>
                <w:sz w:val="24"/>
                <w:szCs w:val="24"/>
              </w:rPr>
              <w:t xml:space="preserve">  в </w:t>
            </w:r>
            <w:proofErr w:type="gramStart"/>
            <w:r w:rsidRPr="00830683">
              <w:rPr>
                <w:b/>
                <w:sz w:val="24"/>
                <w:szCs w:val="24"/>
              </w:rPr>
              <w:t>отношении</w:t>
            </w:r>
            <w:proofErr w:type="gramEnd"/>
            <w:r w:rsidRPr="00830683">
              <w:rPr>
                <w:b/>
                <w:sz w:val="24"/>
                <w:szCs w:val="24"/>
              </w:rPr>
              <w:t xml:space="preserve"> которого проведено контрольное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D" w:rsidRPr="00830683" w:rsidRDefault="00A6587D" w:rsidP="00A401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683">
              <w:rPr>
                <w:b/>
                <w:sz w:val="24"/>
                <w:szCs w:val="24"/>
              </w:rPr>
              <w:t>Адрес</w:t>
            </w:r>
          </w:p>
          <w:p w:rsidR="00A6587D" w:rsidRPr="00830683" w:rsidRDefault="006E0EF4" w:rsidP="00A401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683">
              <w:rPr>
                <w:b/>
                <w:sz w:val="24"/>
                <w:szCs w:val="24"/>
              </w:rPr>
              <w:t>О</w:t>
            </w:r>
            <w:r w:rsidR="00A6587D" w:rsidRPr="00830683">
              <w:rPr>
                <w:b/>
                <w:sz w:val="24"/>
                <w:szCs w:val="24"/>
              </w:rPr>
              <w:t>бъекта</w:t>
            </w:r>
            <w:r>
              <w:rPr>
                <w:b/>
                <w:sz w:val="24"/>
                <w:szCs w:val="24"/>
              </w:rPr>
              <w:t>,</w:t>
            </w:r>
            <w:r w:rsidR="00A6587D" w:rsidRPr="00830683">
              <w:rPr>
                <w:b/>
                <w:sz w:val="24"/>
                <w:szCs w:val="24"/>
              </w:rPr>
              <w:t xml:space="preserve">  в отношении которого проведено контрольное 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D" w:rsidRPr="00830683" w:rsidRDefault="00A6587D" w:rsidP="00A401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683">
              <w:rPr>
                <w:b/>
                <w:sz w:val="24"/>
                <w:szCs w:val="24"/>
              </w:rPr>
              <w:t>Дата и номер распоряжения на проведение контрольного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D" w:rsidRPr="00830683" w:rsidRDefault="00A6587D" w:rsidP="00A401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683">
              <w:rPr>
                <w:b/>
                <w:sz w:val="24"/>
                <w:szCs w:val="24"/>
              </w:rPr>
              <w:t>Сроки проведения контрольного мероприятия/ период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D" w:rsidRPr="00830683" w:rsidRDefault="00A6587D" w:rsidP="00A401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0683">
              <w:rPr>
                <w:b/>
                <w:sz w:val="24"/>
                <w:szCs w:val="24"/>
              </w:rPr>
              <w:t>Тема контрольного мероприятия</w:t>
            </w:r>
          </w:p>
        </w:tc>
      </w:tr>
      <w:tr w:rsidR="00760BEE" w:rsidRPr="00E3758B" w:rsidTr="00B544CC">
        <w:trPr>
          <w:trHeight w:val="1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EE" w:rsidRPr="007A7B2B" w:rsidRDefault="00760BEE" w:rsidP="00923097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A7B2B">
              <w:rPr>
                <w:sz w:val="24"/>
                <w:szCs w:val="24"/>
              </w:rPr>
              <w:t xml:space="preserve">Муниципальное </w:t>
            </w:r>
            <w:r w:rsidR="00923097" w:rsidRPr="007A7B2B">
              <w:rPr>
                <w:sz w:val="24"/>
                <w:szCs w:val="24"/>
              </w:rPr>
              <w:t>казенное</w:t>
            </w:r>
            <w:r w:rsidRPr="007A7B2B">
              <w:rPr>
                <w:sz w:val="24"/>
                <w:szCs w:val="24"/>
              </w:rPr>
              <w:t xml:space="preserve"> учреждение </w:t>
            </w:r>
            <w:r w:rsidR="00923097" w:rsidRPr="007A7B2B">
              <w:rPr>
                <w:sz w:val="24"/>
                <w:szCs w:val="24"/>
              </w:rPr>
              <w:t>«Сарпинская районная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EE" w:rsidRPr="007A7B2B" w:rsidRDefault="00050584" w:rsidP="00760BE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A7B2B">
              <w:rPr>
                <w:sz w:val="24"/>
                <w:szCs w:val="24"/>
              </w:rPr>
              <w:t>Республика Калмыкия, Сарпинский район, с. Садовое, ул. Ленина, д. 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EE" w:rsidRPr="007A7B2B" w:rsidRDefault="00050584" w:rsidP="000505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7B2B">
              <w:rPr>
                <w:sz w:val="24"/>
                <w:szCs w:val="24"/>
              </w:rPr>
              <w:t>04.04.2023г.</w:t>
            </w:r>
            <w:r w:rsidR="00760BEE" w:rsidRPr="007A7B2B">
              <w:rPr>
                <w:sz w:val="24"/>
                <w:szCs w:val="24"/>
              </w:rPr>
              <w:t xml:space="preserve"> № </w:t>
            </w:r>
            <w:r w:rsidRPr="007A7B2B">
              <w:rPr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EE" w:rsidRPr="007A7B2B" w:rsidRDefault="00050584" w:rsidP="00760BEE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A7B2B">
              <w:rPr>
                <w:color w:val="000000"/>
                <w:sz w:val="24"/>
                <w:szCs w:val="24"/>
              </w:rPr>
              <w:t>17.04.2023г.-17.05.2023г.</w:t>
            </w:r>
          </w:p>
          <w:p w:rsidR="00760BEE" w:rsidRPr="007A7B2B" w:rsidRDefault="00760BEE" w:rsidP="00760BE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EE" w:rsidRPr="007A7B2B" w:rsidRDefault="00760BEE" w:rsidP="00050584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A7B2B">
              <w:rPr>
                <w:spacing w:val="-4"/>
                <w:sz w:val="24"/>
                <w:szCs w:val="24"/>
              </w:rPr>
              <w:t>Проверка закон</w:t>
            </w:r>
            <w:r w:rsidR="00050584" w:rsidRPr="007A7B2B">
              <w:rPr>
                <w:spacing w:val="-4"/>
                <w:sz w:val="24"/>
                <w:szCs w:val="24"/>
              </w:rPr>
              <w:t>ности, результативности (эффективности) использования бюджетных средств, выделенных на реализацию муниципальной программы «Развитие культуры в Сарпинском районном муниципальном образовании  Республики Калмыкия на 2016-2018 и на период до 2024года»</w:t>
            </w:r>
          </w:p>
        </w:tc>
      </w:tr>
      <w:tr w:rsidR="00760BEE" w:rsidRPr="00E3758B" w:rsidTr="00B544CC">
        <w:trPr>
          <w:trHeight w:val="1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7A7B2B" w:rsidRDefault="00760BEE" w:rsidP="00050584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A7B2B">
              <w:rPr>
                <w:sz w:val="24"/>
                <w:szCs w:val="24"/>
              </w:rPr>
              <w:t xml:space="preserve">Муниципальное </w:t>
            </w:r>
            <w:r w:rsidR="00050584" w:rsidRPr="007A7B2B">
              <w:rPr>
                <w:sz w:val="24"/>
                <w:szCs w:val="24"/>
              </w:rPr>
              <w:t>казенное</w:t>
            </w:r>
            <w:r w:rsidRPr="007A7B2B">
              <w:rPr>
                <w:sz w:val="24"/>
                <w:szCs w:val="24"/>
              </w:rPr>
              <w:t xml:space="preserve"> об</w:t>
            </w:r>
            <w:r w:rsidR="00050584" w:rsidRPr="007A7B2B">
              <w:rPr>
                <w:sz w:val="24"/>
                <w:szCs w:val="24"/>
              </w:rPr>
              <w:t>щеоб</w:t>
            </w:r>
            <w:r w:rsidRPr="007A7B2B">
              <w:rPr>
                <w:sz w:val="24"/>
                <w:szCs w:val="24"/>
              </w:rPr>
              <w:t xml:space="preserve">разовательное учреждение </w:t>
            </w:r>
            <w:r w:rsidR="00050584" w:rsidRPr="007A7B2B">
              <w:rPr>
                <w:sz w:val="24"/>
                <w:szCs w:val="24"/>
              </w:rPr>
              <w:t xml:space="preserve">«Шарнутовская средняя общеобразовательная школа им. Б.С. </w:t>
            </w:r>
            <w:r w:rsidR="007A7B2B" w:rsidRPr="007A7B2B">
              <w:rPr>
                <w:sz w:val="24"/>
                <w:szCs w:val="24"/>
              </w:rPr>
              <w:t>С</w:t>
            </w:r>
            <w:r w:rsidR="00050584" w:rsidRPr="007A7B2B">
              <w:rPr>
                <w:sz w:val="24"/>
                <w:szCs w:val="24"/>
              </w:rPr>
              <w:t>анджарыкова</w:t>
            </w:r>
            <w:r w:rsidRPr="007A7B2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7A7B2B" w:rsidRDefault="007A7B2B" w:rsidP="00760BE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A7B2B">
              <w:rPr>
                <w:sz w:val="24"/>
                <w:szCs w:val="24"/>
              </w:rPr>
              <w:t>Республика Калмыкия, Сарпинский район, поселок Шарнут, ул. Калинина, 13-15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7A7B2B" w:rsidRDefault="007A7B2B" w:rsidP="007A7B2B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A7B2B">
              <w:rPr>
                <w:noProof/>
                <w:sz w:val="24"/>
                <w:szCs w:val="24"/>
              </w:rPr>
              <w:t>26.06.2023г.</w:t>
            </w:r>
            <w:r w:rsidR="00760BEE" w:rsidRPr="007A7B2B">
              <w:rPr>
                <w:noProof/>
                <w:sz w:val="24"/>
                <w:szCs w:val="24"/>
              </w:rPr>
              <w:t xml:space="preserve"> № </w:t>
            </w:r>
            <w:r w:rsidRPr="007A7B2B">
              <w:rPr>
                <w:noProof/>
                <w:sz w:val="24"/>
                <w:szCs w:val="24"/>
              </w:rPr>
              <w:t>126-р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7A7B2B" w:rsidRDefault="007A7B2B" w:rsidP="00671A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7B2B">
              <w:rPr>
                <w:sz w:val="24"/>
                <w:szCs w:val="24"/>
              </w:rPr>
              <w:t>28.0</w:t>
            </w:r>
            <w:r w:rsidR="00671A8C">
              <w:rPr>
                <w:sz w:val="24"/>
                <w:szCs w:val="24"/>
              </w:rPr>
              <w:t>7</w:t>
            </w:r>
            <w:r w:rsidRPr="007A7B2B">
              <w:rPr>
                <w:sz w:val="24"/>
                <w:szCs w:val="24"/>
              </w:rPr>
              <w:t>.2023г.-25.07.2023г.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2B" w:rsidRPr="007A7B2B" w:rsidRDefault="007A7B2B" w:rsidP="007A7B2B">
            <w:pPr>
              <w:tabs>
                <w:tab w:val="left" w:pos="-142"/>
              </w:tabs>
              <w:ind w:left="-142"/>
              <w:jc w:val="center"/>
              <w:rPr>
                <w:sz w:val="24"/>
                <w:szCs w:val="24"/>
              </w:rPr>
            </w:pPr>
            <w:r w:rsidRPr="007A7B2B">
              <w:rPr>
                <w:spacing w:val="-4"/>
                <w:sz w:val="24"/>
                <w:szCs w:val="24"/>
              </w:rPr>
              <w:t>“Контроль  соблюдения установленного порядка управления и распоряжения имуществом, находящимся в муниципальной собственности в соответствии с учетной политикой, в обязательном порядке перед составлением бюджетной отчетности,</w:t>
            </w:r>
            <w:r w:rsidRPr="007A7B2B">
              <w:rPr>
                <w:sz w:val="24"/>
                <w:szCs w:val="24"/>
              </w:rPr>
              <w:t xml:space="preserve"> своевременное и правильное определение результатов инвентаризации и </w:t>
            </w:r>
            <w:r w:rsidRPr="007A7B2B">
              <w:rPr>
                <w:sz w:val="24"/>
                <w:szCs w:val="24"/>
              </w:rPr>
              <w:lastRenderedPageBreak/>
              <w:t xml:space="preserve">отражение в учете” в муниципальном казенном общеобразовательном учреждении “Шарнутовская средняя общеобразовательная школа имени </w:t>
            </w:r>
            <w:r w:rsidRPr="007A7B2B">
              <w:rPr>
                <w:bCs/>
                <w:sz w:val="24"/>
                <w:szCs w:val="24"/>
              </w:rPr>
              <w:t>Б.С.Санджарыкова</w:t>
            </w:r>
            <w:r w:rsidRPr="007A7B2B">
              <w:rPr>
                <w:sz w:val="24"/>
                <w:szCs w:val="24"/>
              </w:rPr>
              <w:t>”.</w:t>
            </w:r>
          </w:p>
          <w:p w:rsidR="00760BEE" w:rsidRPr="007A7B2B" w:rsidRDefault="00760BEE" w:rsidP="00760B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60BEE" w:rsidRPr="00E3758B" w:rsidTr="00E35B20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F54F84" w:rsidRDefault="00F54F84" w:rsidP="001A3316">
            <w:pPr>
              <w:spacing w:line="276" w:lineRule="auto"/>
              <w:rPr>
                <w:sz w:val="24"/>
                <w:szCs w:val="24"/>
              </w:rPr>
            </w:pPr>
            <w:r w:rsidRPr="00F54F84">
              <w:rPr>
                <w:bCs/>
                <w:sz w:val="24"/>
                <w:szCs w:val="24"/>
              </w:rPr>
              <w:lastRenderedPageBreak/>
              <w:t>МУНИЦИПАЛЬНОЕ КАЗЁНН</w:t>
            </w:r>
            <w:r w:rsidR="00E977B0">
              <w:rPr>
                <w:bCs/>
                <w:sz w:val="24"/>
                <w:szCs w:val="24"/>
              </w:rPr>
              <w:t>О</w:t>
            </w:r>
            <w:r w:rsidRPr="00F54F84">
              <w:rPr>
                <w:bCs/>
                <w:sz w:val="24"/>
                <w:szCs w:val="24"/>
              </w:rPr>
              <w:t>Е УЧРЕЖДЕНИЕ ДОПОЛНИТЕЛЬНОГО ОБРАЗОВАНИЯ</w:t>
            </w:r>
            <w:r w:rsidRPr="00F54F84">
              <w:rPr>
                <w:bCs/>
                <w:sz w:val="24"/>
                <w:szCs w:val="24"/>
              </w:rPr>
              <w:br/>
              <w:t>"САДОВСКАЯ ДЕТСКАЯ ШКОЛА ИСКУССТВ"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F54F84" w:rsidRDefault="00F54F84" w:rsidP="00E35B20">
            <w:pPr>
              <w:jc w:val="center"/>
              <w:rPr>
                <w:sz w:val="24"/>
                <w:szCs w:val="24"/>
                <w:highlight w:val="yellow"/>
              </w:rPr>
            </w:pPr>
            <w:r w:rsidRPr="007A7B2B">
              <w:rPr>
                <w:sz w:val="24"/>
                <w:szCs w:val="24"/>
              </w:rPr>
              <w:t>Республика Калмыкия, Сарпинский район, с. Садовое, ул. Ленина, д. 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F54F84" w:rsidRDefault="00F54F84" w:rsidP="00F54F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10.11.2023Г. № 197-Р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Default="00F54F84" w:rsidP="00E35B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Pr="007A7B2B">
              <w:rPr>
                <w:sz w:val="24"/>
                <w:szCs w:val="24"/>
              </w:rPr>
              <w:t>.2023г.-</w:t>
            </w:r>
            <w:r>
              <w:rPr>
                <w:sz w:val="24"/>
                <w:szCs w:val="24"/>
              </w:rPr>
              <w:t>05.12</w:t>
            </w:r>
            <w:r w:rsidRPr="007A7B2B">
              <w:rPr>
                <w:sz w:val="24"/>
                <w:szCs w:val="24"/>
              </w:rPr>
              <w:t>.2023г</w:t>
            </w:r>
          </w:p>
          <w:p w:rsidR="00F54F84" w:rsidRPr="00F54F84" w:rsidRDefault="00F54F84" w:rsidP="00E35B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4" w:rsidRPr="00F54F84" w:rsidRDefault="00F54F84" w:rsidP="00F54F84">
            <w:pPr>
              <w:jc w:val="both"/>
              <w:rPr>
                <w:sz w:val="24"/>
                <w:szCs w:val="24"/>
              </w:rPr>
            </w:pPr>
            <w:r w:rsidRPr="006F0E96">
              <w:rPr>
                <w:sz w:val="26"/>
                <w:szCs w:val="26"/>
              </w:rPr>
              <w:t>«</w:t>
            </w:r>
            <w:r w:rsidRPr="00F54F84">
              <w:rPr>
                <w:sz w:val="24"/>
                <w:szCs w:val="24"/>
              </w:rPr>
              <w:t>Проверка финансово – хозяйственной деятельности в муниципальном казенном учреждении дополнительного образования «Садовская детская школа искусств»</w:t>
            </w:r>
          </w:p>
          <w:p w:rsidR="00760BEE" w:rsidRPr="00F54F84" w:rsidRDefault="00760BEE" w:rsidP="00E35B20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0BEE" w:rsidRPr="00E3758B" w:rsidTr="00B544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7A7B2B" w:rsidRDefault="00760BEE" w:rsidP="00760BE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7A7B2B" w:rsidRDefault="00760BEE" w:rsidP="00760BE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7A7B2B" w:rsidRDefault="00760BEE" w:rsidP="00760B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7A7B2B" w:rsidRDefault="00760BEE" w:rsidP="00760B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E" w:rsidRPr="007A7B2B" w:rsidRDefault="00760BEE" w:rsidP="00760B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54F84" w:rsidRDefault="00F54F84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</w:p>
    <w:p w:rsidR="00E23A07" w:rsidRDefault="00B10115" w:rsidP="00EB1FE2">
      <w:pPr>
        <w:autoSpaceDE w:val="0"/>
        <w:autoSpaceDN w:val="0"/>
        <w:adjustRightInd w:val="0"/>
        <w:spacing w:line="276" w:lineRule="auto"/>
        <w:ind w:left="-567" w:firstLine="425"/>
        <w:rPr>
          <w:sz w:val="26"/>
          <w:szCs w:val="26"/>
        </w:rPr>
      </w:pPr>
      <w:r w:rsidRPr="00E3758B">
        <w:rPr>
          <w:sz w:val="26"/>
          <w:szCs w:val="26"/>
        </w:rPr>
        <w:t xml:space="preserve">Объем проверенных средств </w:t>
      </w:r>
      <w:r w:rsidR="00830683">
        <w:rPr>
          <w:sz w:val="26"/>
          <w:szCs w:val="26"/>
        </w:rPr>
        <w:t xml:space="preserve"> </w:t>
      </w:r>
      <w:r w:rsidRPr="00E3758B">
        <w:rPr>
          <w:sz w:val="26"/>
          <w:szCs w:val="26"/>
        </w:rPr>
        <w:t xml:space="preserve">при осуществлении внутреннего муниципального финансового контроля </w:t>
      </w:r>
      <w:r w:rsidR="00F54F84">
        <w:rPr>
          <w:sz w:val="26"/>
          <w:szCs w:val="26"/>
        </w:rPr>
        <w:t>52731,0 тыс. руб</w:t>
      </w:r>
      <w:r w:rsidRPr="00E3758B">
        <w:rPr>
          <w:sz w:val="26"/>
          <w:szCs w:val="26"/>
        </w:rPr>
        <w:t xml:space="preserve">.  </w:t>
      </w:r>
      <w:r w:rsidR="00F070A4" w:rsidRPr="00E3758B">
        <w:rPr>
          <w:sz w:val="26"/>
          <w:szCs w:val="26"/>
        </w:rPr>
        <w:t>Результаты проведенных контрольных мероприятий свидетельствуют о том, что использование бюджетных средств осуществлялось в основном правомерно и эффективно. Вместе с тем выявлены нарушения, связанные с несоблюдением требований действующего законодательства</w:t>
      </w:r>
      <w:r w:rsidR="00E23A07">
        <w:rPr>
          <w:sz w:val="26"/>
          <w:szCs w:val="26"/>
        </w:rPr>
        <w:t>.</w:t>
      </w:r>
    </w:p>
    <w:p w:rsidR="00671A8C" w:rsidRPr="00E977B0" w:rsidRDefault="00671A8C" w:rsidP="00EB1FE2">
      <w:pPr>
        <w:autoSpaceDE w:val="0"/>
        <w:autoSpaceDN w:val="0"/>
        <w:adjustRightInd w:val="0"/>
        <w:spacing w:line="276" w:lineRule="auto"/>
        <w:ind w:left="-567" w:firstLine="425"/>
        <w:rPr>
          <w:sz w:val="26"/>
          <w:szCs w:val="26"/>
        </w:rPr>
      </w:pPr>
      <w:r w:rsidRPr="00E977B0">
        <w:rPr>
          <w:sz w:val="26"/>
          <w:szCs w:val="26"/>
        </w:rPr>
        <w:t>В период с 17.04.2023г. г. по 17.05.2023г.  в Муниципальном казенном учреждении «Сарпинская районная библиотека» проведена проверка законности, результативности (эффективности) использования бюджетных средств, выделенных на реализацию муниципальной программы «Развитие культуры в Сарпинском районном муниципальном образовании  Республики Калмыкия на 2016-2018 и на период до 2024года». Объем проверенных средств составил 12472,5 тыс. руб. Нарушений не выявлено.</w:t>
      </w:r>
    </w:p>
    <w:p w:rsidR="001A1D26" w:rsidRDefault="00671A8C" w:rsidP="00E977B0">
      <w:pPr>
        <w:autoSpaceDE w:val="0"/>
        <w:autoSpaceDN w:val="0"/>
        <w:adjustRightInd w:val="0"/>
        <w:spacing w:line="276" w:lineRule="auto"/>
        <w:ind w:left="-567" w:firstLine="425"/>
        <w:rPr>
          <w:sz w:val="26"/>
          <w:szCs w:val="26"/>
        </w:rPr>
      </w:pPr>
      <w:r w:rsidRPr="00E977B0">
        <w:rPr>
          <w:sz w:val="26"/>
          <w:szCs w:val="26"/>
        </w:rPr>
        <w:t xml:space="preserve">В период с 26.06.2023г. г. по 28.07.2023г.  в Муниципальном казенном общеобразовательном учреждении «Шарнутовская средняя общеобразовательная школа им. Б.С. Санджарыкова» проведена проверка “Контроль  соблюдения установленного порядка управления и распоряжения имуществом, находящимся в муниципальной собственности в соответствии с учетной политикой, в обязательном порядке перед составлением бюджетной отчетности, своевременное и правильное определение результатов инвентаризации и отражение в учете” в муниципальном казенном общеобразовательном учреждении “Шарнутовская средняя общеобразовательная школа имени Б.С.Санджарыкова”. Объем проверенных средств составил 34265,8 тыс. руб. </w:t>
      </w:r>
      <w:r w:rsidR="00E977B0">
        <w:rPr>
          <w:sz w:val="26"/>
          <w:szCs w:val="26"/>
        </w:rPr>
        <w:t xml:space="preserve">   </w:t>
      </w:r>
      <w:r w:rsidRPr="00E977B0">
        <w:rPr>
          <w:sz w:val="26"/>
          <w:szCs w:val="26"/>
        </w:rPr>
        <w:t xml:space="preserve">Выявлены нарушения: </w:t>
      </w:r>
    </w:p>
    <w:p w:rsidR="00671A8C" w:rsidRDefault="001A1D26" w:rsidP="00E977B0">
      <w:pPr>
        <w:autoSpaceDE w:val="0"/>
        <w:autoSpaceDN w:val="0"/>
        <w:adjustRightInd w:val="0"/>
        <w:spacing w:line="276" w:lineRule="auto"/>
        <w:ind w:left="-567" w:firstLine="42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="00D82406">
        <w:rPr>
          <w:sz w:val="26"/>
          <w:szCs w:val="26"/>
        </w:rPr>
        <w:t>в</w:t>
      </w:r>
      <w:r w:rsidR="00671A8C" w:rsidRPr="00E977B0">
        <w:rPr>
          <w:sz w:val="26"/>
          <w:szCs w:val="26"/>
        </w:rPr>
        <w:t xml:space="preserve"> нарушение п. 46 Инструкции 157-н</w:t>
      </w:r>
      <w:r w:rsidR="00671A8C" w:rsidRPr="009C4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671A8C" w:rsidRPr="009C4D68">
        <w:rPr>
          <w:sz w:val="26"/>
          <w:szCs w:val="26"/>
        </w:rPr>
        <w:t xml:space="preserve">не </w:t>
      </w:r>
      <w:r w:rsidR="00671A8C">
        <w:rPr>
          <w:sz w:val="26"/>
          <w:szCs w:val="26"/>
        </w:rPr>
        <w:t>на</w:t>
      </w:r>
      <w:r w:rsidR="00671A8C" w:rsidRPr="009C4D68">
        <w:rPr>
          <w:sz w:val="26"/>
          <w:szCs w:val="26"/>
        </w:rPr>
        <w:t xml:space="preserve"> всех объектах проставле</w:t>
      </w:r>
      <w:r w:rsidR="00671A8C">
        <w:rPr>
          <w:sz w:val="26"/>
          <w:szCs w:val="26"/>
        </w:rPr>
        <w:t>н уникальный инвентарный порядко</w:t>
      </w:r>
      <w:r w:rsidR="00671A8C" w:rsidRPr="009C4D68">
        <w:rPr>
          <w:sz w:val="26"/>
          <w:szCs w:val="26"/>
        </w:rPr>
        <w:t>вый номер, что не позволяет провести сверку между фактическим наличием материальных ценностей и данными бухгалтерского учета</w:t>
      </w:r>
    </w:p>
    <w:p w:rsidR="00671A8C" w:rsidRPr="00671A8C" w:rsidRDefault="001A1D26" w:rsidP="001A1D26">
      <w:pPr>
        <w:tabs>
          <w:tab w:val="left" w:pos="-142"/>
        </w:tabs>
        <w:ind w:left="-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-в </w:t>
      </w:r>
      <w:r w:rsidR="00671A8C" w:rsidRPr="00671A8C">
        <w:rPr>
          <w:sz w:val="26"/>
          <w:szCs w:val="26"/>
        </w:rPr>
        <w:t>ходе проверки (сличения Реестра имущества, предоставленного ОУМиЗО администрации Сарпинского РМО РК и инвентаризационной опис</w:t>
      </w:r>
      <w:r w:rsidR="006E0EF4">
        <w:rPr>
          <w:sz w:val="26"/>
          <w:szCs w:val="26"/>
        </w:rPr>
        <w:t>ью имущества, предоставленной  б</w:t>
      </w:r>
      <w:r w:rsidR="00671A8C" w:rsidRPr="00671A8C">
        <w:rPr>
          <w:sz w:val="26"/>
          <w:szCs w:val="26"/>
        </w:rPr>
        <w:t xml:space="preserve">ухгалтерией </w:t>
      </w:r>
      <w:r w:rsidR="006E0EF4">
        <w:rPr>
          <w:sz w:val="26"/>
          <w:szCs w:val="26"/>
        </w:rPr>
        <w:t>о</w:t>
      </w:r>
      <w:r w:rsidR="00671A8C" w:rsidRPr="00671A8C">
        <w:rPr>
          <w:sz w:val="26"/>
          <w:szCs w:val="26"/>
        </w:rPr>
        <w:t>тдела образования Администрации Сарпинского РМО РК) установлено, что имущество, приобретенное МКОУ “Шарнутовская средняя общеобразовательная школа имени Б.С. Санджарыкова общей балансовой стоимостью 8773</w:t>
      </w:r>
      <w:r w:rsidR="00D82406">
        <w:rPr>
          <w:sz w:val="26"/>
          <w:szCs w:val="26"/>
        </w:rPr>
        <w:t>,7</w:t>
      </w:r>
      <w:r w:rsidR="00671A8C" w:rsidRPr="00671A8C">
        <w:rPr>
          <w:sz w:val="26"/>
          <w:szCs w:val="26"/>
        </w:rPr>
        <w:t xml:space="preserve"> </w:t>
      </w:r>
      <w:r w:rsidR="00D82406">
        <w:rPr>
          <w:sz w:val="26"/>
          <w:szCs w:val="26"/>
        </w:rPr>
        <w:t xml:space="preserve">тыс. руб. </w:t>
      </w:r>
      <w:r w:rsidR="00671A8C" w:rsidRPr="00671A8C">
        <w:rPr>
          <w:sz w:val="26"/>
          <w:szCs w:val="26"/>
        </w:rPr>
        <w:t>не было поставлено на учет в Отделе по управлению муниципальным имуществом и земельным отношениям администрации Сарпинского РМО</w:t>
      </w:r>
      <w:proofErr w:type="gramEnd"/>
      <w:r w:rsidR="00671A8C" w:rsidRPr="00671A8C">
        <w:rPr>
          <w:sz w:val="26"/>
          <w:szCs w:val="26"/>
        </w:rPr>
        <w:t xml:space="preserve"> </w:t>
      </w:r>
      <w:proofErr w:type="gramStart"/>
      <w:r w:rsidR="00671A8C" w:rsidRPr="00671A8C">
        <w:rPr>
          <w:sz w:val="26"/>
          <w:szCs w:val="26"/>
        </w:rPr>
        <w:t>РК.</w:t>
      </w:r>
      <w:proofErr w:type="gramEnd"/>
    </w:p>
    <w:p w:rsidR="001A1D26" w:rsidRDefault="00E977B0" w:rsidP="00E977B0">
      <w:pPr>
        <w:pStyle w:val="ad"/>
        <w:autoSpaceDE w:val="0"/>
        <w:autoSpaceDN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977B0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15.11</w:t>
      </w:r>
      <w:r w:rsidRPr="00E977B0">
        <w:rPr>
          <w:sz w:val="26"/>
          <w:szCs w:val="26"/>
        </w:rPr>
        <w:t xml:space="preserve">.2023г. г. по </w:t>
      </w:r>
      <w:r>
        <w:rPr>
          <w:sz w:val="26"/>
          <w:szCs w:val="26"/>
        </w:rPr>
        <w:t>05.12</w:t>
      </w:r>
      <w:r w:rsidRPr="00E977B0">
        <w:rPr>
          <w:sz w:val="26"/>
          <w:szCs w:val="26"/>
        </w:rPr>
        <w:t>.2023г</w:t>
      </w:r>
      <w:r>
        <w:rPr>
          <w:sz w:val="26"/>
          <w:szCs w:val="26"/>
        </w:rPr>
        <w:t xml:space="preserve"> в</w:t>
      </w:r>
      <w:r w:rsidRPr="00E977B0">
        <w:rPr>
          <w:sz w:val="26"/>
          <w:szCs w:val="26"/>
        </w:rPr>
        <w:t xml:space="preserve"> М</w:t>
      </w:r>
      <w:r w:rsidR="00D82406">
        <w:rPr>
          <w:sz w:val="26"/>
          <w:szCs w:val="26"/>
        </w:rPr>
        <w:t>униципальном</w:t>
      </w:r>
      <w:r w:rsidRPr="00E977B0">
        <w:rPr>
          <w:sz w:val="26"/>
          <w:szCs w:val="26"/>
        </w:rPr>
        <w:t xml:space="preserve"> </w:t>
      </w:r>
      <w:r w:rsidR="00D82406">
        <w:rPr>
          <w:sz w:val="26"/>
          <w:szCs w:val="26"/>
        </w:rPr>
        <w:t>казенном учреждении</w:t>
      </w:r>
      <w:r w:rsidRPr="00E977B0">
        <w:rPr>
          <w:sz w:val="26"/>
          <w:szCs w:val="26"/>
        </w:rPr>
        <w:t xml:space="preserve"> </w:t>
      </w:r>
      <w:r w:rsidR="00D82406">
        <w:rPr>
          <w:sz w:val="26"/>
          <w:szCs w:val="26"/>
        </w:rPr>
        <w:t>дополнительного образования</w:t>
      </w:r>
      <w:r w:rsidRPr="00E977B0">
        <w:rPr>
          <w:sz w:val="26"/>
          <w:szCs w:val="26"/>
        </w:rPr>
        <w:t xml:space="preserve"> </w:t>
      </w:r>
      <w:r w:rsidR="00D82406" w:rsidRPr="00E977B0">
        <w:rPr>
          <w:sz w:val="26"/>
          <w:szCs w:val="26"/>
        </w:rPr>
        <w:t xml:space="preserve">«Садовская детская школа искусств» </w:t>
      </w:r>
      <w:r w:rsidRPr="00E977B0">
        <w:rPr>
          <w:sz w:val="26"/>
          <w:szCs w:val="26"/>
        </w:rPr>
        <w:t xml:space="preserve"> проведено контрольное мероприятие </w:t>
      </w:r>
      <w:r w:rsidRPr="006F0E96">
        <w:rPr>
          <w:sz w:val="26"/>
          <w:szCs w:val="26"/>
        </w:rPr>
        <w:t>«</w:t>
      </w:r>
      <w:r w:rsidRPr="00E977B0">
        <w:rPr>
          <w:sz w:val="26"/>
          <w:szCs w:val="26"/>
        </w:rPr>
        <w:t xml:space="preserve">Проверка финансово – хозяйственной деятельности в муниципальном казенном учреждении дополнительного образования «Садовская детская школа искусств». Объем проверенных средств составил </w:t>
      </w:r>
      <w:r>
        <w:rPr>
          <w:sz w:val="26"/>
          <w:szCs w:val="26"/>
        </w:rPr>
        <w:t>5439,7</w:t>
      </w:r>
      <w:r w:rsidRPr="00E977B0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Выявлены нарушения:</w:t>
      </w:r>
      <w:r w:rsidRPr="006F0E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977B0" w:rsidRDefault="00E977B0" w:rsidP="00E977B0">
      <w:pPr>
        <w:pStyle w:val="ad"/>
        <w:autoSpaceDE w:val="0"/>
        <w:autoSpaceDN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A1D26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6F0E96">
        <w:rPr>
          <w:sz w:val="26"/>
          <w:szCs w:val="26"/>
        </w:rPr>
        <w:t xml:space="preserve">ри проведении проверки установлено, что  норма часов учебной (преподавательской) работы за ставку заработной платы в МКУ </w:t>
      </w:r>
      <w:proofErr w:type="gramStart"/>
      <w:r w:rsidRPr="006F0E96">
        <w:rPr>
          <w:sz w:val="26"/>
          <w:szCs w:val="26"/>
        </w:rPr>
        <w:t>ДО</w:t>
      </w:r>
      <w:proofErr w:type="gramEnd"/>
      <w:r w:rsidRPr="006F0E96">
        <w:rPr>
          <w:sz w:val="26"/>
          <w:szCs w:val="26"/>
        </w:rPr>
        <w:t xml:space="preserve"> “</w:t>
      </w:r>
      <w:proofErr w:type="gramStart"/>
      <w:r w:rsidRPr="006F0E96">
        <w:rPr>
          <w:sz w:val="26"/>
          <w:szCs w:val="26"/>
        </w:rPr>
        <w:t>Садовская</w:t>
      </w:r>
      <w:proofErr w:type="gramEnd"/>
      <w:r w:rsidRPr="006F0E96">
        <w:rPr>
          <w:sz w:val="26"/>
          <w:szCs w:val="26"/>
        </w:rPr>
        <w:t xml:space="preserve"> детская школа искусств” превышает  норму часов учебной преподавательской нагрузки</w:t>
      </w:r>
      <w:r>
        <w:rPr>
          <w:sz w:val="26"/>
          <w:szCs w:val="26"/>
        </w:rPr>
        <w:t xml:space="preserve">.  </w:t>
      </w:r>
    </w:p>
    <w:p w:rsidR="00E977B0" w:rsidRPr="00350A80" w:rsidRDefault="00E977B0" w:rsidP="00E977B0">
      <w:pPr>
        <w:pStyle w:val="ad"/>
        <w:autoSpaceDE w:val="0"/>
        <w:autoSpaceDN w:val="0"/>
        <w:ind w:left="-567"/>
        <w:jc w:val="both"/>
        <w:rPr>
          <w:sz w:val="26"/>
          <w:szCs w:val="26"/>
        </w:rPr>
      </w:pPr>
      <w:r w:rsidRPr="00350A80">
        <w:rPr>
          <w:sz w:val="26"/>
          <w:szCs w:val="26"/>
        </w:rPr>
        <w:t xml:space="preserve"> </w:t>
      </w:r>
      <w:r w:rsidR="001A1D26">
        <w:rPr>
          <w:sz w:val="26"/>
          <w:szCs w:val="26"/>
        </w:rPr>
        <w:t xml:space="preserve">    - в </w:t>
      </w:r>
      <w:r>
        <w:rPr>
          <w:sz w:val="26"/>
          <w:szCs w:val="26"/>
        </w:rPr>
        <w:t xml:space="preserve"> утвержденных</w:t>
      </w:r>
      <w:r w:rsidRPr="00350A80">
        <w:rPr>
          <w:sz w:val="26"/>
          <w:szCs w:val="26"/>
        </w:rPr>
        <w:t xml:space="preserve"> бюджетных сме</w:t>
      </w:r>
      <w:r>
        <w:rPr>
          <w:sz w:val="26"/>
          <w:szCs w:val="26"/>
        </w:rPr>
        <w:t>тах</w:t>
      </w:r>
      <w:r w:rsidRPr="00350A80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ого</w:t>
      </w:r>
      <w:r w:rsidRPr="00350A8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350A80">
        <w:rPr>
          <w:sz w:val="26"/>
          <w:szCs w:val="26"/>
        </w:rPr>
        <w:t xml:space="preserve"> отсутствуют обоснования (расчеты) плановых сметных показателей на очередной ф</w:t>
      </w:r>
      <w:r>
        <w:rPr>
          <w:sz w:val="26"/>
          <w:szCs w:val="26"/>
        </w:rPr>
        <w:t>инансовый год и плановый период</w:t>
      </w:r>
      <w:r w:rsidR="006E0EF4">
        <w:rPr>
          <w:sz w:val="26"/>
          <w:szCs w:val="26"/>
        </w:rPr>
        <w:t>.</w:t>
      </w:r>
      <w:r w:rsidRPr="00350A80">
        <w:rPr>
          <w:sz w:val="26"/>
          <w:szCs w:val="26"/>
        </w:rPr>
        <w:t xml:space="preserve"> </w:t>
      </w:r>
    </w:p>
    <w:p w:rsidR="00671A8C" w:rsidRPr="00D82406" w:rsidRDefault="001A1D26" w:rsidP="001A1D26">
      <w:pPr>
        <w:tabs>
          <w:tab w:val="left" w:pos="-142"/>
        </w:tabs>
        <w:ind w:left="-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- </w:t>
      </w:r>
      <w:r w:rsidR="00D82406" w:rsidRPr="00671A8C">
        <w:rPr>
          <w:sz w:val="26"/>
          <w:szCs w:val="26"/>
        </w:rPr>
        <w:t> </w:t>
      </w:r>
      <w:r>
        <w:rPr>
          <w:sz w:val="26"/>
          <w:szCs w:val="26"/>
        </w:rPr>
        <w:t>в</w:t>
      </w:r>
      <w:r w:rsidR="00D82406" w:rsidRPr="00671A8C">
        <w:rPr>
          <w:sz w:val="26"/>
          <w:szCs w:val="26"/>
        </w:rPr>
        <w:t xml:space="preserve"> ходе проверки (сличения Реестра имущества, предоставленного </w:t>
      </w:r>
      <w:proofErr w:type="spellStart"/>
      <w:r w:rsidR="00D82406" w:rsidRPr="00671A8C">
        <w:rPr>
          <w:sz w:val="26"/>
          <w:szCs w:val="26"/>
        </w:rPr>
        <w:t>ОУМиЗО</w:t>
      </w:r>
      <w:proofErr w:type="spellEnd"/>
      <w:r w:rsidR="00D82406" w:rsidRPr="00671A8C">
        <w:rPr>
          <w:sz w:val="26"/>
          <w:szCs w:val="26"/>
        </w:rPr>
        <w:t xml:space="preserve"> администрации </w:t>
      </w:r>
      <w:proofErr w:type="spellStart"/>
      <w:r w:rsidR="00D82406" w:rsidRPr="00671A8C">
        <w:rPr>
          <w:sz w:val="26"/>
          <w:szCs w:val="26"/>
        </w:rPr>
        <w:t>Сарпинского</w:t>
      </w:r>
      <w:proofErr w:type="spellEnd"/>
      <w:r w:rsidR="00D82406" w:rsidRPr="00671A8C">
        <w:rPr>
          <w:sz w:val="26"/>
          <w:szCs w:val="26"/>
        </w:rPr>
        <w:t xml:space="preserve"> РМО РК и инвентаризационной описью имущества, предоставленной  Бухгалтерией Отдела образования Администрации </w:t>
      </w:r>
      <w:proofErr w:type="spellStart"/>
      <w:r w:rsidR="00D82406" w:rsidRPr="00671A8C">
        <w:rPr>
          <w:sz w:val="26"/>
          <w:szCs w:val="26"/>
        </w:rPr>
        <w:t>Сарпинского</w:t>
      </w:r>
      <w:proofErr w:type="spellEnd"/>
      <w:r w:rsidR="00D82406" w:rsidRPr="00671A8C">
        <w:rPr>
          <w:sz w:val="26"/>
          <w:szCs w:val="26"/>
        </w:rPr>
        <w:t xml:space="preserve"> РМО РК) установлено, что имущество, приобретенное МКУ</w:t>
      </w:r>
      <w:r w:rsidR="00D82406">
        <w:rPr>
          <w:sz w:val="26"/>
          <w:szCs w:val="26"/>
        </w:rPr>
        <w:t xml:space="preserve"> ДО</w:t>
      </w:r>
      <w:r w:rsidR="00D82406" w:rsidRPr="00671A8C">
        <w:rPr>
          <w:sz w:val="26"/>
          <w:szCs w:val="26"/>
        </w:rPr>
        <w:t xml:space="preserve"> “</w:t>
      </w:r>
      <w:r w:rsidR="00D82406">
        <w:rPr>
          <w:sz w:val="26"/>
          <w:szCs w:val="26"/>
        </w:rPr>
        <w:t xml:space="preserve">Садовская детская школа искусств» </w:t>
      </w:r>
      <w:r w:rsidR="00D82406" w:rsidRPr="00671A8C">
        <w:rPr>
          <w:sz w:val="26"/>
          <w:szCs w:val="26"/>
        </w:rPr>
        <w:t xml:space="preserve"> общей балансовой стоимостью </w:t>
      </w:r>
      <w:r w:rsidR="00D82406">
        <w:rPr>
          <w:sz w:val="26"/>
          <w:szCs w:val="26"/>
        </w:rPr>
        <w:t>134,0 тыс. руб</w:t>
      </w:r>
      <w:r w:rsidR="006E0EF4">
        <w:rPr>
          <w:sz w:val="26"/>
          <w:szCs w:val="26"/>
        </w:rPr>
        <w:t>.</w:t>
      </w:r>
      <w:r w:rsidR="00D82406" w:rsidRPr="00671A8C">
        <w:rPr>
          <w:sz w:val="26"/>
          <w:szCs w:val="26"/>
        </w:rPr>
        <w:t xml:space="preserve"> не было поставлено на учет в Отделе по управлению муниципальным имуществом и земельным отношениям администрации </w:t>
      </w:r>
      <w:proofErr w:type="spellStart"/>
      <w:r w:rsidR="00D82406" w:rsidRPr="00671A8C">
        <w:rPr>
          <w:sz w:val="26"/>
          <w:szCs w:val="26"/>
        </w:rPr>
        <w:t>Сарпинского</w:t>
      </w:r>
      <w:proofErr w:type="spellEnd"/>
      <w:r w:rsidR="00D82406" w:rsidRPr="00671A8C">
        <w:rPr>
          <w:sz w:val="26"/>
          <w:szCs w:val="26"/>
        </w:rPr>
        <w:t xml:space="preserve"> РМО РК.</w:t>
      </w:r>
      <w:proofErr w:type="gramEnd"/>
    </w:p>
    <w:p w:rsidR="00E23A07" w:rsidRPr="00EB1FE2" w:rsidRDefault="00E23A07" w:rsidP="00EB1FE2">
      <w:pPr>
        <w:autoSpaceDE w:val="0"/>
        <w:autoSpaceDN w:val="0"/>
        <w:adjustRightInd w:val="0"/>
        <w:spacing w:line="276" w:lineRule="auto"/>
        <w:ind w:left="-567" w:firstLine="425"/>
        <w:rPr>
          <w:sz w:val="26"/>
          <w:szCs w:val="26"/>
        </w:rPr>
      </w:pPr>
      <w:r w:rsidRPr="00E3758B">
        <w:rPr>
          <w:sz w:val="26"/>
          <w:szCs w:val="26"/>
        </w:rPr>
        <w:t>Основные нарушения,</w:t>
      </w:r>
      <w:r w:rsidR="00671A8C">
        <w:rPr>
          <w:sz w:val="26"/>
          <w:szCs w:val="26"/>
        </w:rPr>
        <w:t xml:space="preserve"> </w:t>
      </w:r>
      <w:r w:rsidRPr="00E3758B">
        <w:rPr>
          <w:sz w:val="26"/>
          <w:szCs w:val="26"/>
        </w:rPr>
        <w:t xml:space="preserve"> </w:t>
      </w:r>
      <w:r w:rsidR="00671A8C" w:rsidRPr="00E3758B">
        <w:rPr>
          <w:sz w:val="26"/>
          <w:szCs w:val="26"/>
        </w:rPr>
        <w:t>связанные с несоблюдением требований действующего законодательства</w:t>
      </w:r>
      <w:r w:rsidR="00671A8C">
        <w:rPr>
          <w:sz w:val="26"/>
          <w:szCs w:val="26"/>
        </w:rPr>
        <w:t>,  в</w:t>
      </w:r>
      <w:r w:rsidRPr="00E3758B">
        <w:rPr>
          <w:sz w:val="26"/>
          <w:szCs w:val="26"/>
        </w:rPr>
        <w:t xml:space="preserve">ыявленные в ходе проведения плановых контрольных </w:t>
      </w:r>
      <w:r w:rsidRPr="00EB1FE2">
        <w:rPr>
          <w:sz w:val="26"/>
          <w:szCs w:val="26"/>
        </w:rPr>
        <w:t xml:space="preserve">мероприятий: </w:t>
      </w:r>
    </w:p>
    <w:p w:rsidR="00F54F84" w:rsidRPr="00EB1FE2" w:rsidRDefault="00EB1FE2" w:rsidP="00D82406">
      <w:pPr>
        <w:tabs>
          <w:tab w:val="left" w:pos="-567"/>
        </w:tabs>
        <w:autoSpaceDE w:val="0"/>
        <w:autoSpaceDN w:val="0"/>
        <w:adjustRightInd w:val="0"/>
        <w:spacing w:line="276" w:lineRule="auto"/>
        <w:ind w:left="-567" w:hanging="567"/>
        <w:rPr>
          <w:sz w:val="26"/>
          <w:szCs w:val="26"/>
        </w:rPr>
      </w:pPr>
      <w:r w:rsidRPr="00EB1FE2">
        <w:rPr>
          <w:sz w:val="26"/>
          <w:szCs w:val="26"/>
        </w:rPr>
        <w:t xml:space="preserve">              - в</w:t>
      </w:r>
      <w:r w:rsidR="00F54F84" w:rsidRPr="00EB1FE2">
        <w:rPr>
          <w:sz w:val="26"/>
          <w:szCs w:val="26"/>
        </w:rPr>
        <w:t xml:space="preserve"> нарушение Приказа Минфина Рос</w:t>
      </w:r>
      <w:r w:rsidRPr="00EB1FE2">
        <w:rPr>
          <w:sz w:val="26"/>
          <w:szCs w:val="26"/>
        </w:rPr>
        <w:t xml:space="preserve">сии от 14 февраля 2018 г. N 26н  </w:t>
      </w:r>
      <w:r w:rsidR="00F54F84" w:rsidRPr="00EB1FE2">
        <w:rPr>
          <w:sz w:val="26"/>
          <w:szCs w:val="26"/>
        </w:rPr>
        <w:t xml:space="preserve">"Об Общих требованиях к порядку составления, утверждения и ведения бюджетных смет казенных учреждений" отсутствуют обоснования (расчеты) плановых сметных показателей на очередной финансовый год и плановый период) </w:t>
      </w:r>
    </w:p>
    <w:p w:rsidR="00EB1FE2" w:rsidRDefault="00EB1FE2" w:rsidP="00EB1FE2">
      <w:pPr>
        <w:autoSpaceDE w:val="0"/>
        <w:autoSpaceDN w:val="0"/>
        <w:adjustRightInd w:val="0"/>
        <w:spacing w:line="276" w:lineRule="auto"/>
        <w:ind w:left="-567"/>
        <w:rPr>
          <w:b/>
          <w:bCs/>
          <w:sz w:val="26"/>
          <w:szCs w:val="26"/>
        </w:rPr>
      </w:pPr>
      <w:r w:rsidRPr="00EB1FE2">
        <w:rPr>
          <w:sz w:val="26"/>
          <w:szCs w:val="26"/>
        </w:rPr>
        <w:t xml:space="preserve">   - </w:t>
      </w:r>
      <w:r w:rsidR="00F54F84" w:rsidRPr="00EB1FE2">
        <w:rPr>
          <w:sz w:val="26"/>
          <w:szCs w:val="26"/>
        </w:rPr>
        <w:t xml:space="preserve">норма часов учебной (преподавательской) работы за ставку заработной платы превышает  норму часов учебной преподавательской нагрузки  соответствии с п. 2.8.1 Приложения 1 к приказу Минобрнауки </w:t>
      </w:r>
      <w:r w:rsidRPr="00EB1FE2">
        <w:rPr>
          <w:sz w:val="26"/>
          <w:szCs w:val="26"/>
        </w:rPr>
        <w:t xml:space="preserve"> </w:t>
      </w:r>
      <w:r w:rsidR="00F54F84" w:rsidRPr="00EB1FE2">
        <w:rPr>
          <w:sz w:val="26"/>
          <w:szCs w:val="26"/>
        </w:rPr>
        <w:t>России от 22 декабря 2014 г. № 1601.</w:t>
      </w:r>
      <w:r w:rsidR="00F54F84" w:rsidRPr="006F0E96">
        <w:rPr>
          <w:sz w:val="26"/>
          <w:szCs w:val="26"/>
        </w:rPr>
        <w:t xml:space="preserve">  </w:t>
      </w:r>
      <w:r w:rsidR="00E23A07">
        <w:rPr>
          <w:b/>
          <w:bCs/>
          <w:sz w:val="26"/>
          <w:szCs w:val="26"/>
        </w:rPr>
        <w:t xml:space="preserve"> </w:t>
      </w:r>
    </w:p>
    <w:p w:rsidR="007D42E2" w:rsidRPr="00EB1FE2" w:rsidRDefault="00EB1FE2" w:rsidP="00EB1FE2">
      <w:pPr>
        <w:autoSpaceDE w:val="0"/>
        <w:autoSpaceDN w:val="0"/>
        <w:adjustRightInd w:val="0"/>
        <w:spacing w:line="276" w:lineRule="auto"/>
        <w:ind w:left="-567"/>
        <w:rPr>
          <w:sz w:val="26"/>
          <w:szCs w:val="26"/>
        </w:rPr>
      </w:pPr>
      <w:r w:rsidRPr="00EB1FE2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>- в</w:t>
      </w:r>
      <w:r w:rsidR="00F54F84" w:rsidRPr="00EB1FE2">
        <w:rPr>
          <w:bCs/>
          <w:sz w:val="26"/>
          <w:szCs w:val="26"/>
        </w:rPr>
        <w:t xml:space="preserve"> нарушение п. 46 Инструкции 157-н</w:t>
      </w:r>
      <w:r w:rsidR="00F54F84" w:rsidRPr="00E23A07">
        <w:rPr>
          <w:sz w:val="26"/>
          <w:szCs w:val="26"/>
        </w:rPr>
        <w:t xml:space="preserve"> не на всех объектах </w:t>
      </w:r>
      <w:r w:rsidR="00E23A07" w:rsidRPr="00E23A07">
        <w:rPr>
          <w:sz w:val="26"/>
          <w:szCs w:val="26"/>
        </w:rPr>
        <w:t xml:space="preserve">имущества </w:t>
      </w:r>
      <w:r w:rsidR="00F54F84" w:rsidRPr="00E23A07">
        <w:rPr>
          <w:sz w:val="26"/>
          <w:szCs w:val="26"/>
        </w:rPr>
        <w:t>проставлен уникальный инвентарный порядковый номер</w:t>
      </w:r>
      <w:r w:rsidR="00E23A07">
        <w:rPr>
          <w:sz w:val="26"/>
          <w:szCs w:val="26"/>
        </w:rPr>
        <w:t>.</w:t>
      </w:r>
    </w:p>
    <w:tbl>
      <w:tblPr>
        <w:tblW w:w="1052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25"/>
      </w:tblGrid>
      <w:tr w:rsidR="007D42E2" w:rsidRPr="007227B6" w:rsidTr="00E23A07">
        <w:trPr>
          <w:trHeight w:val="1971"/>
        </w:trPr>
        <w:tc>
          <w:tcPr>
            <w:tcW w:w="10525" w:type="dxa"/>
          </w:tcPr>
          <w:p w:rsidR="00E23A07" w:rsidRPr="007D42E2" w:rsidRDefault="007C4A97" w:rsidP="00E23A07">
            <w:pPr>
              <w:spacing w:before="100" w:beforeAutospacing="1" w:after="100" w:afterAutospacing="1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EB1FE2">
              <w:rPr>
                <w:rFonts w:eastAsiaTheme="minorHAnsi"/>
                <w:sz w:val="26"/>
                <w:szCs w:val="26"/>
                <w:lang w:eastAsia="en-US"/>
              </w:rPr>
              <w:t xml:space="preserve"> -</w:t>
            </w:r>
            <w:r w:rsidR="00E23A07" w:rsidRPr="007227B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B1FE2">
              <w:rPr>
                <w:rFonts w:eastAsiaTheme="minorHAnsi"/>
                <w:sz w:val="26"/>
                <w:szCs w:val="26"/>
                <w:lang w:eastAsia="en-US"/>
              </w:rPr>
              <w:t xml:space="preserve">в нарушение </w:t>
            </w:r>
            <w:r w:rsidR="00E23A07" w:rsidRPr="007227B6">
              <w:rPr>
                <w:rFonts w:eastAsiaTheme="minorHAnsi"/>
                <w:sz w:val="26"/>
                <w:szCs w:val="26"/>
                <w:lang w:eastAsia="en-US"/>
              </w:rPr>
              <w:t xml:space="preserve">Приказа Минфина России от 10.10.2023 N 163н "Об утверждении Порядка ведения органами местного самоуправления реестров муниципального имущества" </w:t>
            </w:r>
            <w:r w:rsidR="00E23A07" w:rsidRPr="007D42E2">
              <w:rPr>
                <w:rFonts w:eastAsiaTheme="minorHAnsi"/>
                <w:sz w:val="26"/>
                <w:szCs w:val="26"/>
                <w:lang w:eastAsia="en-US"/>
              </w:rPr>
              <w:t>Приказ</w:t>
            </w:r>
            <w:r w:rsidR="00E23A07" w:rsidRPr="007227B6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E23A07" w:rsidRPr="007D42E2">
              <w:rPr>
                <w:rFonts w:eastAsiaTheme="minorHAnsi"/>
                <w:sz w:val="26"/>
                <w:szCs w:val="26"/>
                <w:lang w:eastAsia="en-US"/>
              </w:rPr>
              <w:t xml:space="preserve"> Минфина России от 15 июня 2021 г. N 84н "Об утверждении федерального стандарта бухгалтерского учета государственных финансов "Государственная (муниципальная) казна"</w:t>
            </w:r>
            <w:r w:rsidR="00E23A07" w:rsidRPr="007227B6">
              <w:rPr>
                <w:rFonts w:eastAsiaTheme="minorHAnsi"/>
                <w:sz w:val="26"/>
                <w:szCs w:val="26"/>
                <w:lang w:eastAsia="en-US"/>
              </w:rPr>
              <w:t>, имеются расхождения в учете имущества по учреждениям и казне.</w:t>
            </w:r>
          </w:p>
          <w:p w:rsidR="007227B6" w:rsidRPr="007227B6" w:rsidRDefault="00EB1FE2" w:rsidP="007227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  </w:t>
            </w:r>
            <w:r w:rsidR="00D8240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227B6" w:rsidRPr="007227B6">
              <w:rPr>
                <w:rFonts w:eastAsiaTheme="minorHAnsi"/>
                <w:sz w:val="26"/>
                <w:szCs w:val="26"/>
                <w:lang w:eastAsia="en-US"/>
              </w:rPr>
              <w:t xml:space="preserve">Большая часть выявленных нарушений оперативно устранялась во время проведения проверок. Нецелевого использования денежных средств не установлено. </w:t>
            </w:r>
          </w:p>
          <w:p w:rsidR="00E23A07" w:rsidRPr="007227B6" w:rsidRDefault="00D82406" w:rsidP="007227B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</w:t>
            </w:r>
            <w:r w:rsidR="007227B6" w:rsidRP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2023 году результаты проведения контрольных мероприятий, недостатки, нарушения и рекомендации, по устранению выявленных нарушений, отражались в актах проверок, материалы которых направлялись  Главе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Сарпинского РМО РК</w:t>
            </w:r>
            <w:r w:rsidR="007227B6" w:rsidRP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руководителям учреждений  для рассмотрения и принятия мер. На основании Соглашения № 2</w:t>
            </w:r>
            <w:r w:rsid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227B6" w:rsidRP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 01.03.2023 </w:t>
            </w:r>
            <w:r w:rsid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«О</w:t>
            </w:r>
            <w:r w:rsidR="007227B6" w:rsidRP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взаимодействии в финансово-бюджетной сфере</w:t>
            </w:r>
            <w:r w:rsid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="007227B6" w:rsidRP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r w:rsidR="007227B6" w:rsidRP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прокуратуру Сарпинского района Республики Калмыкия органом контроля направлялись нормативно правовые акты и документы по проведенным контрольным мероприятиям</w:t>
            </w:r>
            <w:r w:rsidR="00EB1F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7D42E2" w:rsidRPr="007227B6" w:rsidRDefault="00EB1FE2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</w:t>
            </w:r>
            <w:r w:rsidR="007227B6" w:rsidRPr="007227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Жалобы и исковые заявления на решения органа контроля,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362628" w:rsidRPr="007227B6" w:rsidRDefault="00362628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rFonts w:eastAsiaTheme="minorHAnsi"/>
          <w:sz w:val="26"/>
          <w:szCs w:val="26"/>
          <w:lang w:eastAsia="en-US"/>
        </w:rPr>
      </w:pPr>
      <w:r w:rsidRPr="007227B6">
        <w:rPr>
          <w:rFonts w:eastAsiaTheme="minorHAnsi"/>
          <w:sz w:val="26"/>
          <w:szCs w:val="26"/>
          <w:lang w:eastAsia="en-US"/>
        </w:rPr>
        <w:lastRenderedPageBreak/>
        <w:t xml:space="preserve">В отчетном периоде </w:t>
      </w:r>
      <w:r w:rsidR="00537715" w:rsidRPr="007227B6">
        <w:rPr>
          <w:rFonts w:eastAsiaTheme="minorHAnsi"/>
          <w:sz w:val="26"/>
          <w:szCs w:val="26"/>
          <w:lang w:eastAsia="en-US"/>
        </w:rPr>
        <w:t>о</w:t>
      </w:r>
      <w:r w:rsidRPr="007227B6">
        <w:rPr>
          <w:rFonts w:eastAsiaTheme="minorHAnsi"/>
          <w:sz w:val="26"/>
          <w:szCs w:val="26"/>
          <w:lang w:eastAsia="en-US"/>
        </w:rPr>
        <w:t xml:space="preserve">рганом контроля проведены аналитические мероприятия, в том числе: </w:t>
      </w:r>
    </w:p>
    <w:p w:rsidR="00362628" w:rsidRPr="007227B6" w:rsidRDefault="00362628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rFonts w:eastAsiaTheme="minorHAnsi"/>
          <w:sz w:val="26"/>
          <w:szCs w:val="26"/>
          <w:lang w:eastAsia="en-US"/>
        </w:rPr>
      </w:pPr>
      <w:r w:rsidRPr="007227B6">
        <w:rPr>
          <w:rFonts w:eastAsiaTheme="minorHAnsi"/>
          <w:sz w:val="26"/>
          <w:szCs w:val="26"/>
          <w:lang w:eastAsia="en-US"/>
        </w:rPr>
        <w:t xml:space="preserve">   - подготовка информации </w:t>
      </w:r>
      <w:r w:rsidR="008A3C88" w:rsidRPr="007227B6">
        <w:rPr>
          <w:rFonts w:eastAsiaTheme="minorHAnsi"/>
          <w:sz w:val="26"/>
          <w:szCs w:val="26"/>
          <w:lang w:eastAsia="en-US"/>
        </w:rPr>
        <w:t>о результатах контрольной деятельности органа внутреннего государственного (муниципального) финансового контроля</w:t>
      </w:r>
      <w:r w:rsidRPr="007227B6">
        <w:rPr>
          <w:rFonts w:eastAsiaTheme="minorHAnsi"/>
          <w:sz w:val="26"/>
          <w:szCs w:val="26"/>
          <w:lang w:eastAsia="en-US"/>
        </w:rPr>
        <w:t xml:space="preserve"> за 20</w:t>
      </w:r>
      <w:r w:rsidR="008A3C88" w:rsidRPr="007227B6">
        <w:rPr>
          <w:rFonts w:eastAsiaTheme="minorHAnsi"/>
          <w:sz w:val="26"/>
          <w:szCs w:val="26"/>
          <w:lang w:eastAsia="en-US"/>
        </w:rPr>
        <w:t>2</w:t>
      </w:r>
      <w:r w:rsidR="007227B6">
        <w:rPr>
          <w:rFonts w:eastAsiaTheme="minorHAnsi"/>
          <w:sz w:val="26"/>
          <w:szCs w:val="26"/>
          <w:lang w:eastAsia="en-US"/>
        </w:rPr>
        <w:t>3</w:t>
      </w:r>
      <w:r w:rsidRPr="007227B6">
        <w:rPr>
          <w:rFonts w:eastAsiaTheme="minorHAnsi"/>
          <w:sz w:val="26"/>
          <w:szCs w:val="26"/>
          <w:lang w:eastAsia="en-US"/>
        </w:rPr>
        <w:t xml:space="preserve"> год; </w:t>
      </w:r>
    </w:p>
    <w:p w:rsidR="00362628" w:rsidRPr="007227B6" w:rsidRDefault="00EB1FE2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362628" w:rsidRPr="007227B6">
        <w:rPr>
          <w:rFonts w:eastAsiaTheme="minorHAnsi"/>
          <w:sz w:val="26"/>
          <w:szCs w:val="26"/>
          <w:lang w:eastAsia="en-US"/>
        </w:rPr>
        <w:t xml:space="preserve"> -  контроль за исполнением  представлений и рекомендаций;</w:t>
      </w:r>
    </w:p>
    <w:p w:rsidR="00362628" w:rsidRPr="007227B6" w:rsidRDefault="00EB1FE2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362628" w:rsidRPr="007227B6">
        <w:rPr>
          <w:rFonts w:eastAsiaTheme="minorHAnsi"/>
          <w:sz w:val="26"/>
          <w:szCs w:val="26"/>
          <w:lang w:eastAsia="en-US"/>
        </w:rPr>
        <w:t xml:space="preserve">- размещение информации о результатах деятельности администрации </w:t>
      </w:r>
      <w:r w:rsidR="007227B6">
        <w:rPr>
          <w:rFonts w:eastAsiaTheme="minorHAnsi"/>
          <w:sz w:val="26"/>
          <w:szCs w:val="26"/>
          <w:lang w:eastAsia="en-US"/>
        </w:rPr>
        <w:t>Сарпинского РМО РК</w:t>
      </w:r>
      <w:r w:rsidR="00362628" w:rsidRPr="007227B6">
        <w:rPr>
          <w:rFonts w:eastAsiaTheme="minorHAnsi"/>
          <w:sz w:val="26"/>
          <w:szCs w:val="26"/>
          <w:lang w:eastAsia="en-US"/>
        </w:rPr>
        <w:t xml:space="preserve"> по осуществлению внутреннего муниципального финансового контроля в сети Интернет;</w:t>
      </w:r>
    </w:p>
    <w:p w:rsidR="00362628" w:rsidRPr="00E3758B" w:rsidRDefault="00EB1FE2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62628" w:rsidRPr="00E3758B">
        <w:rPr>
          <w:sz w:val="26"/>
          <w:szCs w:val="26"/>
        </w:rPr>
        <w:t xml:space="preserve"> - подготовка  плана</w:t>
      </w:r>
      <w:r>
        <w:rPr>
          <w:sz w:val="26"/>
          <w:szCs w:val="26"/>
        </w:rPr>
        <w:t xml:space="preserve"> </w:t>
      </w:r>
      <w:r w:rsidR="008A3C88" w:rsidRPr="00E3758B">
        <w:rPr>
          <w:sz w:val="26"/>
          <w:szCs w:val="26"/>
        </w:rPr>
        <w:t xml:space="preserve">проведения </w:t>
      </w:r>
      <w:r w:rsidR="00362628" w:rsidRPr="00E3758B">
        <w:rPr>
          <w:sz w:val="26"/>
          <w:szCs w:val="26"/>
        </w:rPr>
        <w:t>контрольных мероприятий администраци</w:t>
      </w:r>
      <w:r w:rsidR="008A3C88" w:rsidRPr="00E3758B">
        <w:rPr>
          <w:sz w:val="26"/>
          <w:szCs w:val="26"/>
        </w:rPr>
        <w:t xml:space="preserve">ей </w:t>
      </w:r>
      <w:r>
        <w:rPr>
          <w:sz w:val="26"/>
          <w:szCs w:val="26"/>
        </w:rPr>
        <w:t>Сарпинского РМО РК</w:t>
      </w:r>
      <w:r w:rsidR="00362628" w:rsidRPr="00E3758B">
        <w:rPr>
          <w:sz w:val="26"/>
          <w:szCs w:val="26"/>
        </w:rPr>
        <w:t xml:space="preserve"> </w:t>
      </w:r>
      <w:r w:rsidR="008A3C88" w:rsidRPr="00E3758B">
        <w:rPr>
          <w:sz w:val="26"/>
          <w:szCs w:val="26"/>
        </w:rPr>
        <w:t>по осуществлению внутреннего муниципального финансового контроля в</w:t>
      </w:r>
      <w:r w:rsidR="00362628" w:rsidRPr="00E3758B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362628" w:rsidRPr="00E3758B">
        <w:rPr>
          <w:sz w:val="26"/>
          <w:szCs w:val="26"/>
        </w:rPr>
        <w:t xml:space="preserve"> год</w:t>
      </w:r>
      <w:r w:rsidR="008A3C88" w:rsidRPr="00E3758B">
        <w:rPr>
          <w:sz w:val="26"/>
          <w:szCs w:val="26"/>
        </w:rPr>
        <w:t>у</w:t>
      </w:r>
      <w:r w:rsidR="00362628" w:rsidRPr="00E3758B">
        <w:rPr>
          <w:sz w:val="26"/>
          <w:szCs w:val="26"/>
        </w:rPr>
        <w:t>;</w:t>
      </w:r>
    </w:p>
    <w:p w:rsidR="00362628" w:rsidRPr="00E3758B" w:rsidRDefault="00EB1FE2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62628" w:rsidRPr="00E3758B">
        <w:rPr>
          <w:sz w:val="26"/>
          <w:szCs w:val="26"/>
        </w:rPr>
        <w:t xml:space="preserve"> - подготовка и представление письменных ответов на запросы </w:t>
      </w:r>
      <w:r>
        <w:rPr>
          <w:sz w:val="26"/>
          <w:szCs w:val="26"/>
        </w:rPr>
        <w:t>Управление федеральн6ого казначейства Республики Калмыкия</w:t>
      </w:r>
      <w:r w:rsidR="00362628" w:rsidRPr="00E3758B">
        <w:rPr>
          <w:sz w:val="26"/>
          <w:szCs w:val="26"/>
        </w:rPr>
        <w:t>;</w:t>
      </w:r>
    </w:p>
    <w:p w:rsidR="00FD7750" w:rsidRDefault="00EB1FE2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2628" w:rsidRPr="00E3758B">
        <w:rPr>
          <w:sz w:val="26"/>
          <w:szCs w:val="26"/>
        </w:rPr>
        <w:t xml:space="preserve">  -   поддержание в актуальном состоянии  нормативной правовой базы.       </w:t>
      </w:r>
    </w:p>
    <w:p w:rsidR="00FD7750" w:rsidRDefault="00FD7750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</w:p>
    <w:p w:rsidR="00FD7750" w:rsidRDefault="00FD7750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</w:p>
    <w:p w:rsidR="00FD7750" w:rsidRPr="00E3758B" w:rsidRDefault="00362628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  <w:r w:rsidRPr="00E3758B">
        <w:rPr>
          <w:sz w:val="26"/>
          <w:szCs w:val="26"/>
        </w:rPr>
        <w:t xml:space="preserve"> </w:t>
      </w:r>
    </w:p>
    <w:tbl>
      <w:tblPr>
        <w:tblW w:w="9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  <w:gridCol w:w="2139"/>
        <w:gridCol w:w="3675"/>
      </w:tblGrid>
      <w:tr w:rsidR="00FD7750" w:rsidRPr="00E3758B" w:rsidTr="0098516F">
        <w:tc>
          <w:tcPr>
            <w:tcW w:w="3570" w:type="dxa"/>
            <w:shd w:val="clear" w:color="auto" w:fill="FFFFFF"/>
            <w:hideMark/>
          </w:tcPr>
          <w:p w:rsidR="00FD7750" w:rsidRDefault="00FD7750" w:rsidP="0098516F">
            <w:pPr>
              <w:rPr>
                <w:sz w:val="26"/>
                <w:szCs w:val="26"/>
              </w:rPr>
            </w:pPr>
          </w:p>
          <w:p w:rsidR="00FD7750" w:rsidRPr="00E3758B" w:rsidRDefault="00FD7750" w:rsidP="004C0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</w:t>
            </w:r>
            <w:r w:rsidR="004C0E4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="006D52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главного специалиста отдела ФЭП и ЦБУ администрации </w:t>
            </w:r>
            <w:proofErr w:type="spellStart"/>
            <w:r>
              <w:rPr>
                <w:sz w:val="26"/>
                <w:szCs w:val="26"/>
              </w:rPr>
              <w:t>Сарпинского</w:t>
            </w:r>
            <w:proofErr w:type="spellEnd"/>
            <w:r>
              <w:rPr>
                <w:sz w:val="26"/>
                <w:szCs w:val="26"/>
              </w:rPr>
              <w:t xml:space="preserve"> РМО РК (уполномоченное лицо органа контроля</w:t>
            </w:r>
            <w:r w:rsidR="004C0E41">
              <w:rPr>
                <w:sz w:val="26"/>
                <w:szCs w:val="26"/>
              </w:rPr>
              <w:t>)</w:t>
            </w:r>
          </w:p>
        </w:tc>
        <w:tc>
          <w:tcPr>
            <w:tcW w:w="2139" w:type="dxa"/>
            <w:shd w:val="clear" w:color="auto" w:fill="FFFFFF"/>
            <w:hideMark/>
          </w:tcPr>
          <w:p w:rsidR="00FD7750" w:rsidRPr="00E3758B" w:rsidRDefault="00FD7750" w:rsidP="0098516F">
            <w:pPr>
              <w:rPr>
                <w:sz w:val="26"/>
                <w:szCs w:val="26"/>
              </w:rPr>
            </w:pPr>
            <w:r w:rsidRPr="00E3758B">
              <w:rPr>
                <w:sz w:val="26"/>
                <w:szCs w:val="26"/>
              </w:rPr>
              <w:t>   </w:t>
            </w:r>
          </w:p>
          <w:p w:rsidR="00FD7750" w:rsidRDefault="00FD7750" w:rsidP="0098516F">
            <w:pPr>
              <w:rPr>
                <w:sz w:val="26"/>
                <w:szCs w:val="26"/>
              </w:rPr>
            </w:pPr>
          </w:p>
          <w:p w:rsidR="00FD7750" w:rsidRDefault="00FD7750" w:rsidP="0098516F">
            <w:pPr>
              <w:rPr>
                <w:sz w:val="26"/>
                <w:szCs w:val="26"/>
              </w:rPr>
            </w:pPr>
          </w:p>
          <w:p w:rsidR="00FD7750" w:rsidRDefault="00FD7750" w:rsidP="0098516F">
            <w:pPr>
              <w:rPr>
                <w:sz w:val="26"/>
                <w:szCs w:val="26"/>
              </w:rPr>
            </w:pPr>
          </w:p>
          <w:p w:rsidR="00FD7750" w:rsidRDefault="00FD7750" w:rsidP="0098516F">
            <w:pPr>
              <w:rPr>
                <w:sz w:val="26"/>
                <w:szCs w:val="26"/>
              </w:rPr>
            </w:pPr>
          </w:p>
          <w:p w:rsidR="00FD7750" w:rsidRPr="00E3758B" w:rsidRDefault="00FD7750" w:rsidP="0098516F">
            <w:pPr>
              <w:rPr>
                <w:sz w:val="26"/>
                <w:szCs w:val="26"/>
              </w:rPr>
            </w:pPr>
            <w:r w:rsidRPr="00E3758B">
              <w:rPr>
                <w:sz w:val="26"/>
                <w:szCs w:val="26"/>
              </w:rPr>
              <w:t>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D7750" w:rsidRPr="00E3758B" w:rsidRDefault="00FD7750" w:rsidP="0098516F">
            <w:pPr>
              <w:rPr>
                <w:sz w:val="26"/>
                <w:szCs w:val="26"/>
              </w:rPr>
            </w:pPr>
            <w:r w:rsidRPr="00E3758B">
              <w:rPr>
                <w:sz w:val="26"/>
                <w:szCs w:val="26"/>
              </w:rPr>
              <w:t xml:space="preserve">    </w:t>
            </w:r>
          </w:p>
          <w:p w:rsidR="00FD7750" w:rsidRDefault="00FD7750" w:rsidP="0098516F">
            <w:pPr>
              <w:rPr>
                <w:sz w:val="26"/>
                <w:szCs w:val="26"/>
                <w:u w:val="single"/>
              </w:rPr>
            </w:pPr>
          </w:p>
          <w:p w:rsidR="00FD7750" w:rsidRDefault="00FD7750" w:rsidP="0098516F">
            <w:pPr>
              <w:rPr>
                <w:sz w:val="26"/>
                <w:szCs w:val="26"/>
                <w:u w:val="single"/>
              </w:rPr>
            </w:pPr>
          </w:p>
          <w:p w:rsidR="00FD7750" w:rsidRDefault="00FD7750" w:rsidP="0098516F">
            <w:pPr>
              <w:rPr>
                <w:sz w:val="26"/>
                <w:szCs w:val="26"/>
                <w:u w:val="single"/>
              </w:rPr>
            </w:pPr>
          </w:p>
          <w:p w:rsidR="00FD7750" w:rsidRDefault="00FD7750" w:rsidP="0098516F">
            <w:pPr>
              <w:rPr>
                <w:sz w:val="26"/>
                <w:szCs w:val="26"/>
                <w:u w:val="single"/>
              </w:rPr>
            </w:pPr>
          </w:p>
          <w:p w:rsidR="00FD7750" w:rsidRPr="006F2058" w:rsidRDefault="00FD7750" w:rsidP="0098516F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Лузанова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Оксана Вячеславовна</w:t>
            </w:r>
          </w:p>
        </w:tc>
      </w:tr>
      <w:tr w:rsidR="00FD7750" w:rsidRPr="00E3758B" w:rsidTr="0098516F">
        <w:tc>
          <w:tcPr>
            <w:tcW w:w="3570" w:type="dxa"/>
            <w:shd w:val="clear" w:color="auto" w:fill="FFFFFF"/>
            <w:hideMark/>
          </w:tcPr>
          <w:p w:rsidR="00FD7750" w:rsidRPr="00E3758B" w:rsidRDefault="00FD7750" w:rsidP="0098516F">
            <w:pPr>
              <w:rPr>
                <w:sz w:val="26"/>
                <w:szCs w:val="26"/>
              </w:rPr>
            </w:pPr>
            <w:r w:rsidRPr="00E3758B">
              <w:rPr>
                <w:sz w:val="26"/>
                <w:szCs w:val="26"/>
              </w:rPr>
              <w:t>   </w:t>
            </w:r>
          </w:p>
        </w:tc>
        <w:tc>
          <w:tcPr>
            <w:tcW w:w="2139" w:type="dxa"/>
            <w:shd w:val="clear" w:color="auto" w:fill="FFFFFF"/>
            <w:hideMark/>
          </w:tcPr>
          <w:p w:rsidR="00FD7750" w:rsidRPr="006F2058" w:rsidRDefault="00FD7750" w:rsidP="0098516F">
            <w:r w:rsidRPr="006F2058"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:rsidR="00FD7750" w:rsidRPr="006F2058" w:rsidRDefault="00FD7750" w:rsidP="0098516F">
            <w:r w:rsidRPr="006F2058">
              <w:t>(фамилия, имя, отчество)</w:t>
            </w:r>
          </w:p>
        </w:tc>
      </w:tr>
    </w:tbl>
    <w:p w:rsidR="00FD7750" w:rsidRPr="00E3758B" w:rsidRDefault="00FD7750" w:rsidP="00FD7750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  <w:highlight w:val="yellow"/>
          <w:shd w:val="clear" w:color="auto" w:fill="F5F5F5"/>
        </w:rPr>
      </w:pPr>
    </w:p>
    <w:p w:rsidR="00362628" w:rsidRPr="00E3758B" w:rsidRDefault="00362628" w:rsidP="008E23A3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6"/>
          <w:szCs w:val="26"/>
        </w:rPr>
      </w:pPr>
    </w:p>
    <w:sectPr w:rsidR="00362628" w:rsidRPr="00E3758B" w:rsidSect="00BC00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645"/>
    <w:multiLevelType w:val="multilevel"/>
    <w:tmpl w:val="3F7CE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313F4A"/>
    <w:multiLevelType w:val="multilevel"/>
    <w:tmpl w:val="940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3D4F"/>
    <w:rsid w:val="0000207B"/>
    <w:rsid w:val="000047DC"/>
    <w:rsid w:val="0000537F"/>
    <w:rsid w:val="00006399"/>
    <w:rsid w:val="00015ED9"/>
    <w:rsid w:val="000329DB"/>
    <w:rsid w:val="00044703"/>
    <w:rsid w:val="00050584"/>
    <w:rsid w:val="000536EF"/>
    <w:rsid w:val="0006293E"/>
    <w:rsid w:val="000776BC"/>
    <w:rsid w:val="00087E02"/>
    <w:rsid w:val="00092A92"/>
    <w:rsid w:val="000934AE"/>
    <w:rsid w:val="00093DC8"/>
    <w:rsid w:val="000B0FFD"/>
    <w:rsid w:val="000C6AF1"/>
    <w:rsid w:val="000D7C86"/>
    <w:rsid w:val="000E28F6"/>
    <w:rsid w:val="000E4374"/>
    <w:rsid w:val="000E6A19"/>
    <w:rsid w:val="000F035F"/>
    <w:rsid w:val="000F06A6"/>
    <w:rsid w:val="000F0E0C"/>
    <w:rsid w:val="000F7969"/>
    <w:rsid w:val="00102A56"/>
    <w:rsid w:val="0010579D"/>
    <w:rsid w:val="00107EA0"/>
    <w:rsid w:val="001139B2"/>
    <w:rsid w:val="00114100"/>
    <w:rsid w:val="001175F4"/>
    <w:rsid w:val="0013503D"/>
    <w:rsid w:val="00137E6A"/>
    <w:rsid w:val="001430FD"/>
    <w:rsid w:val="00152010"/>
    <w:rsid w:val="001652BA"/>
    <w:rsid w:val="00167CA8"/>
    <w:rsid w:val="00167F5A"/>
    <w:rsid w:val="00184AA6"/>
    <w:rsid w:val="00193818"/>
    <w:rsid w:val="00193FBC"/>
    <w:rsid w:val="001962F2"/>
    <w:rsid w:val="00197646"/>
    <w:rsid w:val="001A1D26"/>
    <w:rsid w:val="001A3316"/>
    <w:rsid w:val="001A50EC"/>
    <w:rsid w:val="001A56B6"/>
    <w:rsid w:val="001A7BD7"/>
    <w:rsid w:val="001B1FF6"/>
    <w:rsid w:val="001D2077"/>
    <w:rsid w:val="001D7612"/>
    <w:rsid w:val="001E064B"/>
    <w:rsid w:val="001E1457"/>
    <w:rsid w:val="001E2160"/>
    <w:rsid w:val="001E3733"/>
    <w:rsid w:val="001F7709"/>
    <w:rsid w:val="0020168B"/>
    <w:rsid w:val="002018A0"/>
    <w:rsid w:val="00201FAE"/>
    <w:rsid w:val="00224592"/>
    <w:rsid w:val="00225B7B"/>
    <w:rsid w:val="00231109"/>
    <w:rsid w:val="002643B2"/>
    <w:rsid w:val="00265F2C"/>
    <w:rsid w:val="00266A98"/>
    <w:rsid w:val="00267ADB"/>
    <w:rsid w:val="0027042A"/>
    <w:rsid w:val="0028417B"/>
    <w:rsid w:val="00287F2A"/>
    <w:rsid w:val="00290A41"/>
    <w:rsid w:val="002B3AF6"/>
    <w:rsid w:val="002C2F98"/>
    <w:rsid w:val="002C3C4A"/>
    <w:rsid w:val="002C4AFD"/>
    <w:rsid w:val="002C59B4"/>
    <w:rsid w:val="002E3D61"/>
    <w:rsid w:val="002E3F3D"/>
    <w:rsid w:val="002E497D"/>
    <w:rsid w:val="00307425"/>
    <w:rsid w:val="00307F99"/>
    <w:rsid w:val="00310366"/>
    <w:rsid w:val="003121D3"/>
    <w:rsid w:val="00312409"/>
    <w:rsid w:val="003161E0"/>
    <w:rsid w:val="00324640"/>
    <w:rsid w:val="00330DD0"/>
    <w:rsid w:val="00331978"/>
    <w:rsid w:val="00332391"/>
    <w:rsid w:val="00333CC2"/>
    <w:rsid w:val="003356B8"/>
    <w:rsid w:val="00351456"/>
    <w:rsid w:val="00351B83"/>
    <w:rsid w:val="00353AC0"/>
    <w:rsid w:val="00357C93"/>
    <w:rsid w:val="00362628"/>
    <w:rsid w:val="003657D1"/>
    <w:rsid w:val="0036748A"/>
    <w:rsid w:val="00371A00"/>
    <w:rsid w:val="00373226"/>
    <w:rsid w:val="00373CA4"/>
    <w:rsid w:val="003767F7"/>
    <w:rsid w:val="00376ECF"/>
    <w:rsid w:val="0038334F"/>
    <w:rsid w:val="00390308"/>
    <w:rsid w:val="00390A91"/>
    <w:rsid w:val="003928CE"/>
    <w:rsid w:val="0039366E"/>
    <w:rsid w:val="003B2CFF"/>
    <w:rsid w:val="003B64D6"/>
    <w:rsid w:val="003C04E0"/>
    <w:rsid w:val="003C3B6E"/>
    <w:rsid w:val="003C5DB6"/>
    <w:rsid w:val="003D34DC"/>
    <w:rsid w:val="003E0F5C"/>
    <w:rsid w:val="003E3A6A"/>
    <w:rsid w:val="003E3B14"/>
    <w:rsid w:val="00400C0F"/>
    <w:rsid w:val="00402B66"/>
    <w:rsid w:val="00403450"/>
    <w:rsid w:val="0040648D"/>
    <w:rsid w:val="004128E0"/>
    <w:rsid w:val="00415E2A"/>
    <w:rsid w:val="00416600"/>
    <w:rsid w:val="00421725"/>
    <w:rsid w:val="004218DC"/>
    <w:rsid w:val="00426E10"/>
    <w:rsid w:val="004551E5"/>
    <w:rsid w:val="00455576"/>
    <w:rsid w:val="0045752C"/>
    <w:rsid w:val="00465617"/>
    <w:rsid w:val="00466418"/>
    <w:rsid w:val="00466D11"/>
    <w:rsid w:val="00467AAE"/>
    <w:rsid w:val="00470A35"/>
    <w:rsid w:val="0047196B"/>
    <w:rsid w:val="00475955"/>
    <w:rsid w:val="00477951"/>
    <w:rsid w:val="004853E7"/>
    <w:rsid w:val="00487494"/>
    <w:rsid w:val="004B68CE"/>
    <w:rsid w:val="004C0E41"/>
    <w:rsid w:val="004D0228"/>
    <w:rsid w:val="004D1E4C"/>
    <w:rsid w:val="004D4EE5"/>
    <w:rsid w:val="004F4130"/>
    <w:rsid w:val="00504594"/>
    <w:rsid w:val="0050765A"/>
    <w:rsid w:val="00510697"/>
    <w:rsid w:val="00526F4F"/>
    <w:rsid w:val="00532617"/>
    <w:rsid w:val="00537391"/>
    <w:rsid w:val="00537715"/>
    <w:rsid w:val="00542D4C"/>
    <w:rsid w:val="00543A52"/>
    <w:rsid w:val="005469EE"/>
    <w:rsid w:val="00550142"/>
    <w:rsid w:val="005512D0"/>
    <w:rsid w:val="005518AE"/>
    <w:rsid w:val="00572C06"/>
    <w:rsid w:val="00577313"/>
    <w:rsid w:val="00577EC3"/>
    <w:rsid w:val="00580AA1"/>
    <w:rsid w:val="005810D6"/>
    <w:rsid w:val="0058793D"/>
    <w:rsid w:val="005909C9"/>
    <w:rsid w:val="00590D63"/>
    <w:rsid w:val="005A4E55"/>
    <w:rsid w:val="005A50E7"/>
    <w:rsid w:val="005B1121"/>
    <w:rsid w:val="005B7364"/>
    <w:rsid w:val="005C174E"/>
    <w:rsid w:val="005C1AF9"/>
    <w:rsid w:val="005C265D"/>
    <w:rsid w:val="005C43CF"/>
    <w:rsid w:val="005C624A"/>
    <w:rsid w:val="005D31BE"/>
    <w:rsid w:val="005D4811"/>
    <w:rsid w:val="005D673D"/>
    <w:rsid w:val="005D7DF0"/>
    <w:rsid w:val="005E11DD"/>
    <w:rsid w:val="005E4FBB"/>
    <w:rsid w:val="005E6E32"/>
    <w:rsid w:val="005F6158"/>
    <w:rsid w:val="005F7DCA"/>
    <w:rsid w:val="00602C52"/>
    <w:rsid w:val="00603931"/>
    <w:rsid w:val="00605254"/>
    <w:rsid w:val="00610093"/>
    <w:rsid w:val="00637AB3"/>
    <w:rsid w:val="0064104D"/>
    <w:rsid w:val="00652423"/>
    <w:rsid w:val="0065288B"/>
    <w:rsid w:val="006653DB"/>
    <w:rsid w:val="00671A8C"/>
    <w:rsid w:val="0067551E"/>
    <w:rsid w:val="00677D8B"/>
    <w:rsid w:val="00692E56"/>
    <w:rsid w:val="006A1E2A"/>
    <w:rsid w:val="006B75AA"/>
    <w:rsid w:val="006C0755"/>
    <w:rsid w:val="006C6EBD"/>
    <w:rsid w:val="006D1433"/>
    <w:rsid w:val="006D5230"/>
    <w:rsid w:val="006E0EF4"/>
    <w:rsid w:val="006E12F1"/>
    <w:rsid w:val="006E3B61"/>
    <w:rsid w:val="006E67C5"/>
    <w:rsid w:val="006E717D"/>
    <w:rsid w:val="006F110C"/>
    <w:rsid w:val="006F1407"/>
    <w:rsid w:val="006F1D15"/>
    <w:rsid w:val="006F2058"/>
    <w:rsid w:val="006F6767"/>
    <w:rsid w:val="007002CE"/>
    <w:rsid w:val="0070107F"/>
    <w:rsid w:val="00701FE2"/>
    <w:rsid w:val="00702D5C"/>
    <w:rsid w:val="00707C70"/>
    <w:rsid w:val="0071487E"/>
    <w:rsid w:val="00716A89"/>
    <w:rsid w:val="007227B6"/>
    <w:rsid w:val="00725D60"/>
    <w:rsid w:val="00731BB1"/>
    <w:rsid w:val="00733D86"/>
    <w:rsid w:val="00735BA8"/>
    <w:rsid w:val="0075007E"/>
    <w:rsid w:val="007521B1"/>
    <w:rsid w:val="00752434"/>
    <w:rsid w:val="00754335"/>
    <w:rsid w:val="00755AB1"/>
    <w:rsid w:val="0075718B"/>
    <w:rsid w:val="00760BEE"/>
    <w:rsid w:val="00762559"/>
    <w:rsid w:val="0077232B"/>
    <w:rsid w:val="0077462D"/>
    <w:rsid w:val="00774DBB"/>
    <w:rsid w:val="00775EA0"/>
    <w:rsid w:val="00781B36"/>
    <w:rsid w:val="00784944"/>
    <w:rsid w:val="00787928"/>
    <w:rsid w:val="00790639"/>
    <w:rsid w:val="00791A7D"/>
    <w:rsid w:val="007A7B2B"/>
    <w:rsid w:val="007B0DC2"/>
    <w:rsid w:val="007B275F"/>
    <w:rsid w:val="007C070B"/>
    <w:rsid w:val="007C148C"/>
    <w:rsid w:val="007C1FA8"/>
    <w:rsid w:val="007C48A4"/>
    <w:rsid w:val="007C4A97"/>
    <w:rsid w:val="007C71EA"/>
    <w:rsid w:val="007D0CE2"/>
    <w:rsid w:val="007D114D"/>
    <w:rsid w:val="007D42E2"/>
    <w:rsid w:val="007E286C"/>
    <w:rsid w:val="007E446F"/>
    <w:rsid w:val="007F1289"/>
    <w:rsid w:val="007F47F5"/>
    <w:rsid w:val="007F59E3"/>
    <w:rsid w:val="007F617B"/>
    <w:rsid w:val="0080301C"/>
    <w:rsid w:val="00803FAE"/>
    <w:rsid w:val="00807615"/>
    <w:rsid w:val="00812E66"/>
    <w:rsid w:val="00820C93"/>
    <w:rsid w:val="00824740"/>
    <w:rsid w:val="00830683"/>
    <w:rsid w:val="00831E3F"/>
    <w:rsid w:val="008344FA"/>
    <w:rsid w:val="00844AE1"/>
    <w:rsid w:val="008451E3"/>
    <w:rsid w:val="00845D2C"/>
    <w:rsid w:val="00852CAA"/>
    <w:rsid w:val="00855DDE"/>
    <w:rsid w:val="0086151A"/>
    <w:rsid w:val="00866B64"/>
    <w:rsid w:val="00876014"/>
    <w:rsid w:val="008A3C88"/>
    <w:rsid w:val="008A5596"/>
    <w:rsid w:val="008A6D1B"/>
    <w:rsid w:val="008B5D2D"/>
    <w:rsid w:val="008B63FF"/>
    <w:rsid w:val="008B6746"/>
    <w:rsid w:val="008B78CA"/>
    <w:rsid w:val="008D080E"/>
    <w:rsid w:val="008D605F"/>
    <w:rsid w:val="008E168A"/>
    <w:rsid w:val="008E2358"/>
    <w:rsid w:val="008E23A3"/>
    <w:rsid w:val="008E38E4"/>
    <w:rsid w:val="00900B53"/>
    <w:rsid w:val="00913B57"/>
    <w:rsid w:val="00914F7F"/>
    <w:rsid w:val="00923097"/>
    <w:rsid w:val="0092689B"/>
    <w:rsid w:val="00926E62"/>
    <w:rsid w:val="00934455"/>
    <w:rsid w:val="00935D3B"/>
    <w:rsid w:val="0094156D"/>
    <w:rsid w:val="0094286A"/>
    <w:rsid w:val="0094564B"/>
    <w:rsid w:val="00952212"/>
    <w:rsid w:val="00963FDA"/>
    <w:rsid w:val="00965511"/>
    <w:rsid w:val="0098513E"/>
    <w:rsid w:val="009924CA"/>
    <w:rsid w:val="0099531D"/>
    <w:rsid w:val="00996BE2"/>
    <w:rsid w:val="00997776"/>
    <w:rsid w:val="009A6985"/>
    <w:rsid w:val="009B0062"/>
    <w:rsid w:val="009B04C7"/>
    <w:rsid w:val="009B3B3D"/>
    <w:rsid w:val="009B6C1C"/>
    <w:rsid w:val="009C0A50"/>
    <w:rsid w:val="009C43F5"/>
    <w:rsid w:val="009C59DE"/>
    <w:rsid w:val="009C5F2A"/>
    <w:rsid w:val="009D7740"/>
    <w:rsid w:val="009E297D"/>
    <w:rsid w:val="009F1711"/>
    <w:rsid w:val="00A05A74"/>
    <w:rsid w:val="00A200BA"/>
    <w:rsid w:val="00A31C1C"/>
    <w:rsid w:val="00A332C9"/>
    <w:rsid w:val="00A370D9"/>
    <w:rsid w:val="00A37CAF"/>
    <w:rsid w:val="00A401DF"/>
    <w:rsid w:val="00A429BF"/>
    <w:rsid w:val="00A43C11"/>
    <w:rsid w:val="00A460D9"/>
    <w:rsid w:val="00A56EF3"/>
    <w:rsid w:val="00A611D9"/>
    <w:rsid w:val="00A63DEE"/>
    <w:rsid w:val="00A6587D"/>
    <w:rsid w:val="00A71660"/>
    <w:rsid w:val="00A71BFB"/>
    <w:rsid w:val="00A801C5"/>
    <w:rsid w:val="00A81276"/>
    <w:rsid w:val="00A854D7"/>
    <w:rsid w:val="00A873B5"/>
    <w:rsid w:val="00A90970"/>
    <w:rsid w:val="00A927EA"/>
    <w:rsid w:val="00A93C4B"/>
    <w:rsid w:val="00A94CD8"/>
    <w:rsid w:val="00A96A60"/>
    <w:rsid w:val="00AA7AF1"/>
    <w:rsid w:val="00AB30FF"/>
    <w:rsid w:val="00AD0F63"/>
    <w:rsid w:val="00AD67C6"/>
    <w:rsid w:val="00AE0B6E"/>
    <w:rsid w:val="00AE51E3"/>
    <w:rsid w:val="00AF3D4F"/>
    <w:rsid w:val="00B0172E"/>
    <w:rsid w:val="00B0749F"/>
    <w:rsid w:val="00B10115"/>
    <w:rsid w:val="00B11742"/>
    <w:rsid w:val="00B133F8"/>
    <w:rsid w:val="00B1485C"/>
    <w:rsid w:val="00B1586C"/>
    <w:rsid w:val="00B162E8"/>
    <w:rsid w:val="00B315A4"/>
    <w:rsid w:val="00B40F89"/>
    <w:rsid w:val="00B430D1"/>
    <w:rsid w:val="00B439AA"/>
    <w:rsid w:val="00B45B31"/>
    <w:rsid w:val="00B544CC"/>
    <w:rsid w:val="00B63A3E"/>
    <w:rsid w:val="00B66BE5"/>
    <w:rsid w:val="00B67913"/>
    <w:rsid w:val="00B67DAC"/>
    <w:rsid w:val="00B716BF"/>
    <w:rsid w:val="00B81261"/>
    <w:rsid w:val="00B81806"/>
    <w:rsid w:val="00B84313"/>
    <w:rsid w:val="00B84BA1"/>
    <w:rsid w:val="00B96076"/>
    <w:rsid w:val="00BA30C3"/>
    <w:rsid w:val="00BB03F6"/>
    <w:rsid w:val="00BB4A3F"/>
    <w:rsid w:val="00BC0038"/>
    <w:rsid w:val="00BC6406"/>
    <w:rsid w:val="00BD1EEC"/>
    <w:rsid w:val="00BE0290"/>
    <w:rsid w:val="00BE19EF"/>
    <w:rsid w:val="00BE1A2B"/>
    <w:rsid w:val="00BE23C2"/>
    <w:rsid w:val="00BE4044"/>
    <w:rsid w:val="00BE7438"/>
    <w:rsid w:val="00BF0DDE"/>
    <w:rsid w:val="00BF5120"/>
    <w:rsid w:val="00C0133E"/>
    <w:rsid w:val="00C03A02"/>
    <w:rsid w:val="00C04003"/>
    <w:rsid w:val="00C15E89"/>
    <w:rsid w:val="00C1631E"/>
    <w:rsid w:val="00C22307"/>
    <w:rsid w:val="00C25F5A"/>
    <w:rsid w:val="00C3157C"/>
    <w:rsid w:val="00C3576C"/>
    <w:rsid w:val="00C36A0D"/>
    <w:rsid w:val="00C414F3"/>
    <w:rsid w:val="00C4318E"/>
    <w:rsid w:val="00C459F3"/>
    <w:rsid w:val="00C5364D"/>
    <w:rsid w:val="00C644DD"/>
    <w:rsid w:val="00C71E66"/>
    <w:rsid w:val="00C81D07"/>
    <w:rsid w:val="00C83142"/>
    <w:rsid w:val="00C87AC6"/>
    <w:rsid w:val="00C91AF8"/>
    <w:rsid w:val="00C93D7C"/>
    <w:rsid w:val="00CA1411"/>
    <w:rsid w:val="00CA52B8"/>
    <w:rsid w:val="00CC7C08"/>
    <w:rsid w:val="00CD3CBE"/>
    <w:rsid w:val="00CD70D9"/>
    <w:rsid w:val="00CE3240"/>
    <w:rsid w:val="00CE6709"/>
    <w:rsid w:val="00CF5953"/>
    <w:rsid w:val="00D016B2"/>
    <w:rsid w:val="00D02230"/>
    <w:rsid w:val="00D14B85"/>
    <w:rsid w:val="00D16C02"/>
    <w:rsid w:val="00D21460"/>
    <w:rsid w:val="00D25616"/>
    <w:rsid w:val="00D32B35"/>
    <w:rsid w:val="00D35389"/>
    <w:rsid w:val="00D44F85"/>
    <w:rsid w:val="00D45FD7"/>
    <w:rsid w:val="00D53A98"/>
    <w:rsid w:val="00D569A7"/>
    <w:rsid w:val="00D66CBC"/>
    <w:rsid w:val="00D6740C"/>
    <w:rsid w:val="00D70BE7"/>
    <w:rsid w:val="00D73595"/>
    <w:rsid w:val="00D82406"/>
    <w:rsid w:val="00D85B39"/>
    <w:rsid w:val="00D909EC"/>
    <w:rsid w:val="00D91824"/>
    <w:rsid w:val="00D91B73"/>
    <w:rsid w:val="00DB18D3"/>
    <w:rsid w:val="00DC0B2B"/>
    <w:rsid w:val="00DC5ADE"/>
    <w:rsid w:val="00DD60C1"/>
    <w:rsid w:val="00DE1D99"/>
    <w:rsid w:val="00DE2DC0"/>
    <w:rsid w:val="00DE5FCC"/>
    <w:rsid w:val="00DE7EE9"/>
    <w:rsid w:val="00DF2D89"/>
    <w:rsid w:val="00DF3AB9"/>
    <w:rsid w:val="00DF4B44"/>
    <w:rsid w:val="00DF6399"/>
    <w:rsid w:val="00E01A84"/>
    <w:rsid w:val="00E026A4"/>
    <w:rsid w:val="00E047E7"/>
    <w:rsid w:val="00E11DF9"/>
    <w:rsid w:val="00E2174A"/>
    <w:rsid w:val="00E23A07"/>
    <w:rsid w:val="00E27C9E"/>
    <w:rsid w:val="00E36E52"/>
    <w:rsid w:val="00E3758B"/>
    <w:rsid w:val="00E4029E"/>
    <w:rsid w:val="00E44CF8"/>
    <w:rsid w:val="00E5168D"/>
    <w:rsid w:val="00E56209"/>
    <w:rsid w:val="00E95492"/>
    <w:rsid w:val="00E977B0"/>
    <w:rsid w:val="00EA1630"/>
    <w:rsid w:val="00EA1E45"/>
    <w:rsid w:val="00EB1FE2"/>
    <w:rsid w:val="00EC0DF8"/>
    <w:rsid w:val="00EC6671"/>
    <w:rsid w:val="00EF22B9"/>
    <w:rsid w:val="00EF22FA"/>
    <w:rsid w:val="00EF7129"/>
    <w:rsid w:val="00EF7FF1"/>
    <w:rsid w:val="00F070A4"/>
    <w:rsid w:val="00F11F5E"/>
    <w:rsid w:val="00F122A7"/>
    <w:rsid w:val="00F22E5C"/>
    <w:rsid w:val="00F33AC6"/>
    <w:rsid w:val="00F51380"/>
    <w:rsid w:val="00F54F84"/>
    <w:rsid w:val="00F56AE5"/>
    <w:rsid w:val="00F57F4F"/>
    <w:rsid w:val="00F629C0"/>
    <w:rsid w:val="00F65338"/>
    <w:rsid w:val="00F658D6"/>
    <w:rsid w:val="00F7099D"/>
    <w:rsid w:val="00F73FF4"/>
    <w:rsid w:val="00F84DCB"/>
    <w:rsid w:val="00F86CF8"/>
    <w:rsid w:val="00F92AF8"/>
    <w:rsid w:val="00FA76EB"/>
    <w:rsid w:val="00FB1375"/>
    <w:rsid w:val="00FB352B"/>
    <w:rsid w:val="00FB5CBB"/>
    <w:rsid w:val="00FB65E3"/>
    <w:rsid w:val="00FC479E"/>
    <w:rsid w:val="00FC51AA"/>
    <w:rsid w:val="00FD13BE"/>
    <w:rsid w:val="00FD67BE"/>
    <w:rsid w:val="00FD7750"/>
    <w:rsid w:val="00FE01FB"/>
    <w:rsid w:val="00FE079F"/>
    <w:rsid w:val="00FF2484"/>
    <w:rsid w:val="00FF2B13"/>
    <w:rsid w:val="00FF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42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1AF8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C91AF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803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next w:val="a5"/>
    <w:link w:val="a6"/>
    <w:qFormat/>
    <w:rsid w:val="00803FAE"/>
    <w:pPr>
      <w:ind w:hanging="567"/>
      <w:jc w:val="center"/>
    </w:pPr>
    <w:rPr>
      <w:b/>
      <w:i/>
      <w:sz w:val="28"/>
    </w:rPr>
  </w:style>
  <w:style w:type="character" w:customStyle="1" w:styleId="a6">
    <w:name w:val="Название Знак"/>
    <w:link w:val="11"/>
    <w:rsid w:val="00803F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Title"/>
    <w:basedOn w:val="a"/>
    <w:next w:val="a"/>
    <w:link w:val="12"/>
    <w:uiPriority w:val="10"/>
    <w:qFormat/>
    <w:rsid w:val="008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5"/>
    <w:uiPriority w:val="10"/>
    <w:rsid w:val="00803F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2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8E168A"/>
    <w:rPr>
      <w:color w:val="106BBE"/>
    </w:rPr>
  </w:style>
  <w:style w:type="paragraph" w:customStyle="1" w:styleId="paragraph">
    <w:name w:val="paragraph"/>
    <w:basedOn w:val="a"/>
    <w:rsid w:val="000934AE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a0"/>
    <w:rsid w:val="000934AE"/>
  </w:style>
  <w:style w:type="character" w:customStyle="1" w:styleId="eop">
    <w:name w:val="eop"/>
    <w:basedOn w:val="a0"/>
    <w:rsid w:val="000934AE"/>
  </w:style>
  <w:style w:type="character" w:customStyle="1" w:styleId="normaltextrun">
    <w:name w:val="normaltextrun"/>
    <w:basedOn w:val="a0"/>
    <w:rsid w:val="000934AE"/>
  </w:style>
  <w:style w:type="character" w:styleId="aa">
    <w:name w:val="Hyperlink"/>
    <w:basedOn w:val="a0"/>
    <w:uiPriority w:val="99"/>
    <w:unhideWhenUsed/>
    <w:rsid w:val="00F070A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D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5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D114D"/>
    <w:pPr>
      <w:ind w:left="720"/>
      <w:contextualSpacing/>
    </w:pPr>
  </w:style>
  <w:style w:type="character" w:customStyle="1" w:styleId="extendedtext-full">
    <w:name w:val="extendedtext-full"/>
    <w:basedOn w:val="a0"/>
    <w:rsid w:val="003E0F5C"/>
  </w:style>
  <w:style w:type="paragraph" w:customStyle="1" w:styleId="Default">
    <w:name w:val="Default"/>
    <w:rsid w:val="007D42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4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6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6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09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6437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56437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64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550C-3384-4B60-A62D-45D350A0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бух2</cp:lastModifiedBy>
  <cp:revision>23</cp:revision>
  <cp:lastPrinted>2023-01-12T06:33:00Z</cp:lastPrinted>
  <dcterms:created xsi:type="dcterms:W3CDTF">2024-02-02T09:05:00Z</dcterms:created>
  <dcterms:modified xsi:type="dcterms:W3CDTF">2024-02-27T06:18:00Z</dcterms:modified>
</cp:coreProperties>
</file>