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92" w:type="dxa"/>
        <w:tblLayout w:type="fixed"/>
        <w:tblLook w:val="04A0"/>
      </w:tblPr>
      <w:tblGrid>
        <w:gridCol w:w="4146"/>
        <w:gridCol w:w="2533"/>
        <w:gridCol w:w="4121"/>
      </w:tblGrid>
      <w:tr w:rsidR="00C521C5" w:rsidRPr="00020027" w:rsidTr="000C7D8E">
        <w:trPr>
          <w:gridBefore w:val="1"/>
          <w:gridAfter w:val="1"/>
          <w:wBefore w:w="4146" w:type="dxa"/>
          <w:wAfter w:w="4121" w:type="dxa"/>
          <w:trHeight w:val="1814"/>
        </w:trPr>
        <w:tc>
          <w:tcPr>
            <w:tcW w:w="2533" w:type="dxa"/>
            <w:vAlign w:val="center"/>
            <w:hideMark/>
          </w:tcPr>
          <w:p w:rsidR="00C521C5" w:rsidRPr="00020027" w:rsidRDefault="00C521C5" w:rsidP="000C7D8E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00100" cy="809625"/>
                  <wp:effectExtent l="19050" t="0" r="0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1C5" w:rsidRPr="00020027" w:rsidTr="000C7D8E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</w:tblPrEx>
        <w:trPr>
          <w:trHeight w:val="184"/>
        </w:trPr>
        <w:tc>
          <w:tcPr>
            <w:tcW w:w="10800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C521C5" w:rsidRDefault="00C521C5" w:rsidP="00D80053">
            <w:pPr>
              <w:jc w:val="center"/>
              <w:rPr>
                <w:b/>
                <w:sz w:val="26"/>
                <w:szCs w:val="26"/>
              </w:rPr>
            </w:pPr>
            <w:r w:rsidRPr="00020027">
              <w:rPr>
                <w:b/>
                <w:sz w:val="26"/>
                <w:szCs w:val="26"/>
              </w:rPr>
              <w:t>ХАЛЬМГ ТАҢ</w:t>
            </w:r>
            <w:proofErr w:type="gramStart"/>
            <w:r w:rsidRPr="00020027">
              <w:rPr>
                <w:b/>
                <w:sz w:val="26"/>
                <w:szCs w:val="26"/>
                <w:lang w:val="en-US"/>
              </w:rPr>
              <w:t>h</w:t>
            </w:r>
            <w:proofErr w:type="gramEnd"/>
            <w:r w:rsidRPr="00020027">
              <w:rPr>
                <w:b/>
                <w:sz w:val="26"/>
                <w:szCs w:val="26"/>
              </w:rPr>
              <w:t>ЧИН САРПИНСК РАЙОНА МУНИЦИПАЛЬН</w:t>
            </w:r>
          </w:p>
          <w:p w:rsidR="00C521C5" w:rsidRPr="00020027" w:rsidRDefault="00C521C5" w:rsidP="00D80053">
            <w:pPr>
              <w:jc w:val="center"/>
              <w:rPr>
                <w:b/>
                <w:sz w:val="26"/>
                <w:szCs w:val="26"/>
              </w:rPr>
            </w:pPr>
            <w:r w:rsidRPr="00020027">
              <w:rPr>
                <w:b/>
                <w:sz w:val="26"/>
                <w:szCs w:val="26"/>
              </w:rPr>
              <w:t>Б</w:t>
            </w:r>
            <w:proofErr w:type="gramStart"/>
            <w:r w:rsidRPr="00020027">
              <w:rPr>
                <w:b/>
                <w:sz w:val="26"/>
                <w:szCs w:val="26"/>
                <w:lang w:val="en-US"/>
              </w:rPr>
              <w:t>Y</w:t>
            </w:r>
            <w:proofErr w:type="gramEnd"/>
            <w:r w:rsidRPr="00020027">
              <w:rPr>
                <w:b/>
                <w:sz w:val="26"/>
                <w:szCs w:val="26"/>
              </w:rPr>
              <w:t>РДӘЦИН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20027">
              <w:rPr>
                <w:b/>
                <w:sz w:val="26"/>
                <w:szCs w:val="26"/>
              </w:rPr>
              <w:t>ДЕПУТАТНРИН ХУРГ</w:t>
            </w:r>
          </w:p>
          <w:p w:rsidR="00C521C5" w:rsidRPr="00020027" w:rsidRDefault="00C521C5" w:rsidP="00D80053">
            <w:pPr>
              <w:jc w:val="center"/>
              <w:rPr>
                <w:b/>
                <w:sz w:val="26"/>
                <w:szCs w:val="26"/>
              </w:rPr>
            </w:pPr>
          </w:p>
          <w:p w:rsidR="00C521C5" w:rsidRPr="00020027" w:rsidRDefault="00C521C5" w:rsidP="00D80053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20027">
              <w:rPr>
                <w:b/>
                <w:bCs/>
                <w:sz w:val="26"/>
                <w:szCs w:val="26"/>
              </w:rPr>
              <w:t>РЕШЕНИЕ СОБРАНИЯ ДЕПУТАТОВ  САРПИНСКОГО РАЙОННОГО  МУНИЦИПАЛЬНОГО  ОБРАЗОВАНИЯ РЕСПУБЛИКИ  КАЛМЫКИЯ</w:t>
            </w:r>
          </w:p>
        </w:tc>
      </w:tr>
    </w:tbl>
    <w:p w:rsidR="00C521C5" w:rsidRDefault="00C521C5" w:rsidP="00C521C5">
      <w:pPr>
        <w:jc w:val="both"/>
      </w:pPr>
      <w:r>
        <w:t xml:space="preserve">   </w:t>
      </w:r>
    </w:p>
    <w:p w:rsidR="00C521C5" w:rsidRPr="00A62A9A" w:rsidRDefault="00C521C5" w:rsidP="00C521C5">
      <w:pPr>
        <w:jc w:val="center"/>
        <w:rPr>
          <w:b/>
          <w:sz w:val="28"/>
          <w:szCs w:val="28"/>
          <w:u w:val="single"/>
        </w:rPr>
      </w:pPr>
      <w:proofErr w:type="gramStart"/>
      <w:r w:rsidRPr="00A62A9A">
        <w:rPr>
          <w:b/>
          <w:sz w:val="28"/>
          <w:szCs w:val="28"/>
          <w:u w:val="single"/>
        </w:rPr>
        <w:t>Р</w:t>
      </w:r>
      <w:proofErr w:type="gramEnd"/>
      <w:r w:rsidRPr="00A62A9A">
        <w:rPr>
          <w:b/>
          <w:sz w:val="28"/>
          <w:szCs w:val="28"/>
          <w:u w:val="single"/>
        </w:rPr>
        <w:t xml:space="preserve"> Е Ш Е Н И Е</w:t>
      </w:r>
    </w:p>
    <w:p w:rsidR="00C521C5" w:rsidRPr="00A62A9A" w:rsidRDefault="00C521C5" w:rsidP="00C521C5">
      <w:pPr>
        <w:jc w:val="center"/>
        <w:rPr>
          <w:b/>
          <w:sz w:val="28"/>
          <w:szCs w:val="28"/>
        </w:rPr>
      </w:pPr>
    </w:p>
    <w:p w:rsidR="00C521C5" w:rsidRPr="00A62A9A" w:rsidRDefault="00D92384" w:rsidP="00C521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 марта </w:t>
      </w:r>
      <w:r w:rsidR="00C521C5">
        <w:rPr>
          <w:b/>
          <w:sz w:val="28"/>
          <w:szCs w:val="28"/>
        </w:rPr>
        <w:t xml:space="preserve"> 2024 </w:t>
      </w:r>
      <w:r w:rsidR="00C521C5" w:rsidRPr="00A62A9A">
        <w:rPr>
          <w:b/>
          <w:sz w:val="28"/>
          <w:szCs w:val="28"/>
        </w:rPr>
        <w:t xml:space="preserve">г.        </w:t>
      </w:r>
      <w:r w:rsidR="00C521C5" w:rsidRPr="00A62A9A">
        <w:rPr>
          <w:b/>
          <w:sz w:val="28"/>
          <w:szCs w:val="28"/>
        </w:rPr>
        <w:tab/>
      </w:r>
      <w:r w:rsidR="00C521C5" w:rsidRPr="00A62A9A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52/254</w:t>
      </w:r>
      <w:r w:rsidR="00C521C5" w:rsidRPr="00A62A9A">
        <w:rPr>
          <w:b/>
          <w:sz w:val="28"/>
          <w:szCs w:val="28"/>
        </w:rPr>
        <w:t xml:space="preserve">      </w:t>
      </w:r>
      <w:r w:rsidR="00C521C5" w:rsidRPr="00A62A9A">
        <w:rPr>
          <w:b/>
          <w:sz w:val="28"/>
          <w:szCs w:val="28"/>
        </w:rPr>
        <w:tab/>
        <w:t xml:space="preserve">                   с. </w:t>
      </w:r>
      <w:proofErr w:type="gramStart"/>
      <w:r w:rsidR="00C521C5" w:rsidRPr="00A62A9A">
        <w:rPr>
          <w:b/>
          <w:sz w:val="28"/>
          <w:szCs w:val="28"/>
        </w:rPr>
        <w:t>Садовое</w:t>
      </w:r>
      <w:proofErr w:type="gramEnd"/>
      <w:r w:rsidR="00C521C5" w:rsidRPr="00A62A9A">
        <w:rPr>
          <w:b/>
          <w:sz w:val="28"/>
          <w:szCs w:val="28"/>
        </w:rPr>
        <w:t xml:space="preserve"> </w:t>
      </w:r>
    </w:p>
    <w:p w:rsidR="00C521C5" w:rsidRDefault="00C521C5" w:rsidP="00C521C5">
      <w:pPr>
        <w:ind w:left="4536"/>
        <w:jc w:val="both"/>
        <w:rPr>
          <w:b/>
          <w:sz w:val="28"/>
          <w:szCs w:val="28"/>
        </w:rPr>
      </w:pPr>
      <w:r w:rsidRPr="005A7A3F">
        <w:rPr>
          <w:b/>
          <w:sz w:val="28"/>
          <w:szCs w:val="28"/>
        </w:rPr>
        <w:t xml:space="preserve"> </w:t>
      </w:r>
    </w:p>
    <w:p w:rsidR="00C521C5" w:rsidRPr="00ED59FB" w:rsidRDefault="00C521C5" w:rsidP="00C521C5">
      <w:pPr>
        <w:ind w:left="4253"/>
        <w:jc w:val="both"/>
        <w:rPr>
          <w:b/>
          <w:sz w:val="28"/>
          <w:szCs w:val="28"/>
        </w:rPr>
      </w:pPr>
      <w:r w:rsidRPr="00ED59FB">
        <w:rPr>
          <w:b/>
          <w:sz w:val="28"/>
          <w:szCs w:val="28"/>
        </w:rPr>
        <w:t xml:space="preserve">Об </w:t>
      </w:r>
      <w:r w:rsidR="00D80053">
        <w:rPr>
          <w:b/>
          <w:sz w:val="28"/>
          <w:szCs w:val="28"/>
        </w:rPr>
        <w:t>утверждении схемы территориального планирования Сарпинского районного муниципального образования Республики Калмыкия</w:t>
      </w:r>
      <w:r w:rsidR="004D68AC">
        <w:rPr>
          <w:b/>
          <w:sz w:val="28"/>
          <w:szCs w:val="28"/>
        </w:rPr>
        <w:t xml:space="preserve"> в новой редакции</w:t>
      </w:r>
    </w:p>
    <w:p w:rsidR="00D80053" w:rsidRDefault="00D80053" w:rsidP="00D80053">
      <w:pPr>
        <w:tabs>
          <w:tab w:val="left" w:pos="462"/>
        </w:tabs>
        <w:ind w:firstLine="851"/>
        <w:jc w:val="both"/>
        <w:rPr>
          <w:sz w:val="28"/>
          <w:szCs w:val="28"/>
        </w:rPr>
      </w:pPr>
    </w:p>
    <w:p w:rsidR="00F44719" w:rsidRDefault="00F44719" w:rsidP="00F44719">
      <w:pPr>
        <w:tabs>
          <w:tab w:val="left" w:pos="462"/>
        </w:tabs>
        <w:spacing w:line="360" w:lineRule="auto"/>
        <w:ind w:firstLine="851"/>
        <w:jc w:val="both"/>
        <w:rPr>
          <w:sz w:val="28"/>
          <w:szCs w:val="28"/>
        </w:rPr>
      </w:pPr>
    </w:p>
    <w:p w:rsidR="00D80053" w:rsidRPr="00D80053" w:rsidRDefault="00D80053" w:rsidP="00F44719">
      <w:pPr>
        <w:tabs>
          <w:tab w:val="left" w:pos="462"/>
        </w:tabs>
        <w:spacing w:line="360" w:lineRule="auto"/>
        <w:ind w:firstLine="851"/>
        <w:jc w:val="both"/>
        <w:rPr>
          <w:sz w:val="28"/>
          <w:szCs w:val="28"/>
        </w:rPr>
      </w:pPr>
      <w:r w:rsidRPr="00D80053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  статьей 20 Градостроительного кодекса Российской Федерации, </w:t>
      </w:r>
      <w:r>
        <w:rPr>
          <w:sz w:val="28"/>
          <w:szCs w:val="28"/>
        </w:rPr>
        <w:t xml:space="preserve">принимая во внимание </w:t>
      </w:r>
      <w:r w:rsidRPr="00D80053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D80053">
        <w:rPr>
          <w:sz w:val="28"/>
          <w:szCs w:val="28"/>
        </w:rPr>
        <w:t xml:space="preserve"> проекта «Схема территориального планирования Сарпинского районного муниципального образования Республики Калмыкия» Правительством Республики Калмыкия,  руководствуясь Уставом Сарпинского районного муниципального образования Республики Калмыкия, Собрание депутатов Сарпинского районного муниципального образования Республики Калмыкия</w:t>
      </w:r>
    </w:p>
    <w:p w:rsidR="00D80053" w:rsidRPr="00D80053" w:rsidRDefault="00D80053" w:rsidP="00B51B7C">
      <w:pPr>
        <w:tabs>
          <w:tab w:val="left" w:pos="462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D80053">
        <w:rPr>
          <w:b/>
          <w:sz w:val="28"/>
          <w:szCs w:val="28"/>
        </w:rPr>
        <w:t>решило:</w:t>
      </w:r>
    </w:p>
    <w:p w:rsidR="00D80053" w:rsidRPr="00D80053" w:rsidRDefault="00D80053" w:rsidP="00F44719">
      <w:pPr>
        <w:tabs>
          <w:tab w:val="left" w:pos="46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80053">
        <w:rPr>
          <w:sz w:val="28"/>
          <w:szCs w:val="28"/>
        </w:rPr>
        <w:t>Утвердить Схему территориального планирования Сарпинского районного муниципального образования Республики Калмыкия в новой редакции с учетом изменений, разработанных Обществом с ограниченной ответственность «</w:t>
      </w:r>
      <w:proofErr w:type="spellStart"/>
      <w:r w:rsidRPr="00D80053">
        <w:rPr>
          <w:sz w:val="28"/>
          <w:szCs w:val="28"/>
        </w:rPr>
        <w:t>Картфонд</w:t>
      </w:r>
      <w:proofErr w:type="spellEnd"/>
      <w:r w:rsidRPr="00D80053">
        <w:rPr>
          <w:sz w:val="28"/>
          <w:szCs w:val="28"/>
        </w:rPr>
        <w:t>»  в 2023 году, сроком до 2043 года.</w:t>
      </w:r>
      <w:proofErr w:type="gramEnd"/>
    </w:p>
    <w:p w:rsidR="00D80053" w:rsidRDefault="00D80053" w:rsidP="00F44719">
      <w:pPr>
        <w:tabs>
          <w:tab w:val="left" w:pos="46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80053">
        <w:rPr>
          <w:sz w:val="28"/>
          <w:szCs w:val="28"/>
        </w:rPr>
        <w:t>Администрации Сарпинского районного муниципального образования Республики Калмыкия в трех</w:t>
      </w:r>
      <w:r>
        <w:rPr>
          <w:sz w:val="28"/>
          <w:szCs w:val="28"/>
        </w:rPr>
        <w:t>д</w:t>
      </w:r>
      <w:r w:rsidRPr="00D80053">
        <w:rPr>
          <w:sz w:val="28"/>
          <w:szCs w:val="28"/>
        </w:rPr>
        <w:t xml:space="preserve">невный срок  со дня утверждения внесенных изменений в Схему  территориального планирования Сарпинского районного </w:t>
      </w:r>
      <w:r>
        <w:rPr>
          <w:sz w:val="28"/>
          <w:szCs w:val="28"/>
        </w:rPr>
        <w:lastRenderedPageBreak/>
        <w:t xml:space="preserve">муниципального </w:t>
      </w:r>
      <w:r w:rsidRPr="00D80053">
        <w:rPr>
          <w:sz w:val="28"/>
          <w:szCs w:val="28"/>
        </w:rPr>
        <w:t xml:space="preserve">образования Республики Калмыкия направить  Схему территориального планирования  Сарпинского районного </w:t>
      </w:r>
      <w:r>
        <w:rPr>
          <w:sz w:val="28"/>
          <w:szCs w:val="28"/>
        </w:rPr>
        <w:t xml:space="preserve">муниципального </w:t>
      </w:r>
      <w:r w:rsidRPr="00D80053">
        <w:rPr>
          <w:sz w:val="28"/>
          <w:szCs w:val="28"/>
        </w:rPr>
        <w:t xml:space="preserve">образования Республики Калмыкия в Правительство Республики Калмыкия, Министерство строительства и дорожного хозяйства Республики Калмыкия, главам сельских муниципальных образований, входящих в состав Сарпинского районного </w:t>
      </w:r>
      <w:r>
        <w:rPr>
          <w:sz w:val="28"/>
          <w:szCs w:val="28"/>
        </w:rPr>
        <w:t xml:space="preserve">муниципального </w:t>
      </w:r>
      <w:r w:rsidRPr="00D80053">
        <w:rPr>
          <w:sz w:val="28"/>
          <w:szCs w:val="28"/>
        </w:rPr>
        <w:t>образования, применительно к территориям</w:t>
      </w:r>
      <w:proofErr w:type="gramEnd"/>
      <w:r w:rsidRPr="00D80053">
        <w:rPr>
          <w:sz w:val="28"/>
          <w:szCs w:val="28"/>
        </w:rPr>
        <w:t xml:space="preserve"> </w:t>
      </w:r>
      <w:proofErr w:type="gramStart"/>
      <w:r w:rsidRPr="00D80053">
        <w:rPr>
          <w:sz w:val="28"/>
          <w:szCs w:val="28"/>
        </w:rPr>
        <w:t>которых</w:t>
      </w:r>
      <w:proofErr w:type="gramEnd"/>
      <w:r w:rsidRPr="00D80053">
        <w:rPr>
          <w:sz w:val="28"/>
          <w:szCs w:val="28"/>
        </w:rPr>
        <w:t xml:space="preserve"> подготовлена Схема территориального планирования  Сарпинского районного </w:t>
      </w:r>
      <w:r>
        <w:rPr>
          <w:sz w:val="28"/>
          <w:szCs w:val="28"/>
        </w:rPr>
        <w:t xml:space="preserve">муниципального </w:t>
      </w:r>
      <w:r w:rsidRPr="00D80053">
        <w:rPr>
          <w:sz w:val="28"/>
          <w:szCs w:val="28"/>
        </w:rPr>
        <w:t>образования Республики Калмыкия.</w:t>
      </w:r>
    </w:p>
    <w:p w:rsidR="00D80053" w:rsidRPr="00D80053" w:rsidRDefault="00D80053" w:rsidP="00F44719">
      <w:pPr>
        <w:tabs>
          <w:tab w:val="left" w:pos="46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0053">
        <w:rPr>
          <w:sz w:val="28"/>
          <w:szCs w:val="28"/>
        </w:rPr>
        <w:t>Настоящее решение вступает в силу со дня подписания и подлежит  опубликовани</w:t>
      </w:r>
      <w:r w:rsidR="00F44719">
        <w:rPr>
          <w:sz w:val="28"/>
          <w:szCs w:val="28"/>
        </w:rPr>
        <w:t>ю (обнародованию)</w:t>
      </w:r>
      <w:r w:rsidRPr="00D80053">
        <w:rPr>
          <w:sz w:val="28"/>
          <w:szCs w:val="28"/>
        </w:rPr>
        <w:t xml:space="preserve">  в установленном порядке.</w:t>
      </w:r>
    </w:p>
    <w:p w:rsidR="00C521C5" w:rsidRDefault="00C521C5" w:rsidP="00D80053">
      <w:pPr>
        <w:pStyle w:val="2"/>
        <w:spacing w:line="360" w:lineRule="auto"/>
        <w:ind w:firstLine="851"/>
        <w:jc w:val="both"/>
        <w:rPr>
          <w:bCs w:val="0"/>
        </w:rPr>
      </w:pPr>
    </w:p>
    <w:p w:rsidR="00D80053" w:rsidRPr="00D80053" w:rsidRDefault="00D80053" w:rsidP="00D80053"/>
    <w:p w:rsidR="00C521C5" w:rsidRPr="00D80053" w:rsidRDefault="00C521C5" w:rsidP="00C521C5">
      <w:pPr>
        <w:jc w:val="both"/>
        <w:rPr>
          <w:b/>
          <w:sz w:val="28"/>
          <w:szCs w:val="28"/>
        </w:rPr>
      </w:pPr>
      <w:r w:rsidRPr="00D80053">
        <w:rPr>
          <w:b/>
          <w:sz w:val="28"/>
          <w:szCs w:val="28"/>
        </w:rPr>
        <w:t>Председатель Собрания депутатов</w:t>
      </w:r>
    </w:p>
    <w:p w:rsidR="00C521C5" w:rsidRPr="00D80053" w:rsidRDefault="00C521C5" w:rsidP="00C521C5">
      <w:pPr>
        <w:jc w:val="both"/>
        <w:rPr>
          <w:b/>
          <w:sz w:val="28"/>
          <w:szCs w:val="28"/>
        </w:rPr>
      </w:pPr>
      <w:r w:rsidRPr="00D80053">
        <w:rPr>
          <w:b/>
          <w:sz w:val="28"/>
          <w:szCs w:val="28"/>
        </w:rPr>
        <w:t>Сарпинского районного</w:t>
      </w:r>
    </w:p>
    <w:p w:rsidR="00C521C5" w:rsidRPr="00D80053" w:rsidRDefault="00C521C5" w:rsidP="00C521C5">
      <w:pPr>
        <w:jc w:val="both"/>
        <w:rPr>
          <w:b/>
          <w:sz w:val="28"/>
          <w:szCs w:val="28"/>
        </w:rPr>
      </w:pPr>
      <w:r w:rsidRPr="00D80053">
        <w:rPr>
          <w:b/>
          <w:sz w:val="28"/>
          <w:szCs w:val="28"/>
        </w:rPr>
        <w:t xml:space="preserve">муниципального образования </w:t>
      </w:r>
    </w:p>
    <w:p w:rsidR="00C521C5" w:rsidRDefault="00C521C5" w:rsidP="00C521C5">
      <w:pPr>
        <w:jc w:val="both"/>
        <w:rPr>
          <w:b/>
          <w:sz w:val="28"/>
          <w:szCs w:val="28"/>
        </w:rPr>
      </w:pPr>
      <w:r w:rsidRPr="00D80053">
        <w:rPr>
          <w:b/>
          <w:sz w:val="28"/>
          <w:szCs w:val="28"/>
        </w:rPr>
        <w:t xml:space="preserve">Республики Калмыкия                                            </w:t>
      </w:r>
      <w:r w:rsidRPr="00D80053">
        <w:rPr>
          <w:b/>
          <w:sz w:val="28"/>
          <w:szCs w:val="28"/>
        </w:rPr>
        <w:tab/>
      </w:r>
      <w:r w:rsidRPr="00D80053">
        <w:rPr>
          <w:b/>
          <w:sz w:val="28"/>
          <w:szCs w:val="28"/>
        </w:rPr>
        <w:tab/>
      </w:r>
      <w:proofErr w:type="spellStart"/>
      <w:r w:rsidRPr="00D80053">
        <w:rPr>
          <w:b/>
          <w:sz w:val="28"/>
          <w:szCs w:val="28"/>
        </w:rPr>
        <w:t>Н.С.Манджиев</w:t>
      </w:r>
      <w:proofErr w:type="spellEnd"/>
    </w:p>
    <w:p w:rsidR="00D80053" w:rsidRDefault="00D80053" w:rsidP="00C521C5">
      <w:pPr>
        <w:jc w:val="both"/>
        <w:rPr>
          <w:b/>
          <w:sz w:val="28"/>
          <w:szCs w:val="28"/>
        </w:rPr>
      </w:pPr>
    </w:p>
    <w:p w:rsidR="00D80053" w:rsidRDefault="00D80053" w:rsidP="00C521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Сарпинского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D80053" w:rsidRDefault="00D80053" w:rsidP="00C521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80053" w:rsidRDefault="00D80053" w:rsidP="00C521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</w:t>
      </w:r>
      <w:r w:rsidR="00F44719">
        <w:rPr>
          <w:b/>
          <w:sz w:val="28"/>
          <w:szCs w:val="28"/>
        </w:rPr>
        <w:t>Калмыкия</w:t>
      </w:r>
      <w:r w:rsidR="00F44719">
        <w:rPr>
          <w:b/>
          <w:sz w:val="28"/>
          <w:szCs w:val="28"/>
        </w:rPr>
        <w:tab/>
      </w:r>
      <w:r w:rsidR="00F44719">
        <w:rPr>
          <w:b/>
          <w:sz w:val="28"/>
          <w:szCs w:val="28"/>
        </w:rPr>
        <w:tab/>
      </w:r>
      <w:r w:rsidR="00F44719">
        <w:rPr>
          <w:b/>
          <w:sz w:val="28"/>
          <w:szCs w:val="28"/>
        </w:rPr>
        <w:tab/>
      </w:r>
      <w:r w:rsidR="00F44719">
        <w:rPr>
          <w:b/>
          <w:sz w:val="28"/>
          <w:szCs w:val="28"/>
        </w:rPr>
        <w:tab/>
      </w:r>
      <w:r w:rsidR="00F44719">
        <w:rPr>
          <w:b/>
          <w:sz w:val="28"/>
          <w:szCs w:val="28"/>
        </w:rPr>
        <w:tab/>
      </w:r>
      <w:r w:rsidR="00F44719">
        <w:rPr>
          <w:b/>
          <w:sz w:val="28"/>
          <w:szCs w:val="28"/>
        </w:rPr>
        <w:tab/>
      </w:r>
      <w:proofErr w:type="spellStart"/>
      <w:r w:rsidR="00F44719">
        <w:rPr>
          <w:b/>
          <w:sz w:val="28"/>
          <w:szCs w:val="28"/>
        </w:rPr>
        <w:t>Б.А.Манджиев</w:t>
      </w:r>
      <w:proofErr w:type="spellEnd"/>
    </w:p>
    <w:p w:rsidR="00F44719" w:rsidRPr="00D80053" w:rsidRDefault="00F44719" w:rsidP="00C521C5">
      <w:pPr>
        <w:jc w:val="both"/>
        <w:rPr>
          <w:b/>
          <w:sz w:val="28"/>
          <w:szCs w:val="28"/>
        </w:rPr>
      </w:pPr>
    </w:p>
    <w:p w:rsidR="00C521C5" w:rsidRDefault="00C521C5" w:rsidP="00C521C5">
      <w:pPr>
        <w:jc w:val="both"/>
        <w:rPr>
          <w:b/>
          <w:sz w:val="28"/>
          <w:szCs w:val="28"/>
        </w:rPr>
      </w:pPr>
    </w:p>
    <w:p w:rsidR="00C521C5" w:rsidRDefault="00C521C5" w:rsidP="00C521C5">
      <w:pPr>
        <w:jc w:val="both"/>
        <w:rPr>
          <w:b/>
          <w:sz w:val="28"/>
          <w:szCs w:val="28"/>
        </w:rPr>
      </w:pPr>
    </w:p>
    <w:p w:rsidR="00C521C5" w:rsidRPr="00ED59FB" w:rsidRDefault="00C521C5" w:rsidP="00C521C5">
      <w:pPr>
        <w:jc w:val="both"/>
        <w:rPr>
          <w:b/>
          <w:sz w:val="28"/>
          <w:szCs w:val="28"/>
        </w:rPr>
      </w:pPr>
    </w:p>
    <w:p w:rsidR="00C521C5" w:rsidRDefault="00C521C5" w:rsidP="00C521C5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</w:p>
    <w:p w:rsidR="00C521C5" w:rsidRDefault="00C521C5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p w:rsidR="00F44719" w:rsidRPr="00B936C5" w:rsidRDefault="00F44719" w:rsidP="00F44719">
      <w:pPr>
        <w:ind w:right="-286"/>
        <w:jc w:val="center"/>
        <w:rPr>
          <w:rStyle w:val="ab"/>
          <w:b/>
          <w:i w:val="0"/>
          <w:sz w:val="28"/>
          <w:szCs w:val="28"/>
        </w:rPr>
      </w:pPr>
      <w:r w:rsidRPr="00B936C5">
        <w:rPr>
          <w:rStyle w:val="ab"/>
          <w:b/>
          <w:i w:val="0"/>
          <w:sz w:val="28"/>
          <w:szCs w:val="28"/>
        </w:rPr>
        <w:lastRenderedPageBreak/>
        <w:t>ПОЯСНИТЕЛЬНАЯ ЗАПИСКА</w:t>
      </w:r>
    </w:p>
    <w:p w:rsidR="00F44719" w:rsidRPr="00B936C5" w:rsidRDefault="00F44719" w:rsidP="00F44719">
      <w:pPr>
        <w:ind w:right="-286"/>
        <w:jc w:val="center"/>
        <w:rPr>
          <w:rStyle w:val="ab"/>
          <w:b/>
          <w:i w:val="0"/>
          <w:sz w:val="28"/>
          <w:szCs w:val="28"/>
        </w:rPr>
      </w:pPr>
      <w:r w:rsidRPr="00B936C5">
        <w:rPr>
          <w:rStyle w:val="ab"/>
          <w:b/>
          <w:i w:val="0"/>
          <w:sz w:val="28"/>
          <w:szCs w:val="28"/>
        </w:rPr>
        <w:t xml:space="preserve">к  проекту решения Собрания депутатов Сарпинского РМО РК </w:t>
      </w:r>
    </w:p>
    <w:p w:rsidR="00F44719" w:rsidRPr="00B936C5" w:rsidRDefault="00F44719" w:rsidP="00F44719">
      <w:pPr>
        <w:ind w:right="-286"/>
        <w:jc w:val="center"/>
        <w:rPr>
          <w:rStyle w:val="ab"/>
          <w:b/>
          <w:i w:val="0"/>
          <w:sz w:val="28"/>
          <w:szCs w:val="28"/>
        </w:rPr>
      </w:pPr>
      <w:r w:rsidRPr="00B936C5">
        <w:rPr>
          <w:rStyle w:val="ab"/>
          <w:b/>
          <w:i w:val="0"/>
          <w:sz w:val="28"/>
          <w:szCs w:val="28"/>
        </w:rPr>
        <w:t xml:space="preserve">«Об утверждении  Схемы территориального планирования Сарпинского районного муниципального образования Республики Калмыкия </w:t>
      </w:r>
    </w:p>
    <w:p w:rsidR="00F44719" w:rsidRPr="00B936C5" w:rsidRDefault="00F44719" w:rsidP="00F44719">
      <w:pPr>
        <w:ind w:right="-286"/>
        <w:jc w:val="center"/>
        <w:rPr>
          <w:rStyle w:val="ab"/>
          <w:b/>
          <w:i w:val="0"/>
          <w:sz w:val="28"/>
          <w:szCs w:val="28"/>
        </w:rPr>
      </w:pPr>
      <w:r w:rsidRPr="00B936C5">
        <w:rPr>
          <w:rStyle w:val="ab"/>
          <w:b/>
          <w:i w:val="0"/>
          <w:sz w:val="28"/>
          <w:szCs w:val="28"/>
        </w:rPr>
        <w:t>в новой редакции»</w:t>
      </w:r>
    </w:p>
    <w:p w:rsidR="00F44719" w:rsidRPr="00B936C5" w:rsidRDefault="00F44719" w:rsidP="00F44719">
      <w:pPr>
        <w:ind w:right="-286"/>
        <w:jc w:val="center"/>
        <w:rPr>
          <w:sz w:val="28"/>
          <w:szCs w:val="28"/>
        </w:rPr>
      </w:pPr>
    </w:p>
    <w:p w:rsidR="00F44719" w:rsidRPr="00B936C5" w:rsidRDefault="00F44719" w:rsidP="009F789D">
      <w:pPr>
        <w:ind w:right="-284" w:firstLine="709"/>
        <w:jc w:val="both"/>
        <w:rPr>
          <w:sz w:val="28"/>
          <w:szCs w:val="28"/>
        </w:rPr>
      </w:pPr>
      <w:r w:rsidRPr="00B936C5">
        <w:rPr>
          <w:sz w:val="28"/>
          <w:szCs w:val="28"/>
        </w:rPr>
        <w:t>Схема территориального планирования Сарпинского районного муниципального образования Республики Калмыкия разработан</w:t>
      </w:r>
      <w:proofErr w:type="gramStart"/>
      <w:r w:rsidRPr="00B936C5">
        <w:rPr>
          <w:sz w:val="28"/>
          <w:szCs w:val="28"/>
        </w:rPr>
        <w:t>а ООО</w:t>
      </w:r>
      <w:proofErr w:type="gramEnd"/>
      <w:r w:rsidRPr="00B936C5">
        <w:rPr>
          <w:sz w:val="28"/>
          <w:szCs w:val="28"/>
        </w:rPr>
        <w:t> «</w:t>
      </w:r>
      <w:proofErr w:type="spellStart"/>
      <w:r w:rsidRPr="00B936C5">
        <w:rPr>
          <w:sz w:val="28"/>
          <w:szCs w:val="28"/>
        </w:rPr>
        <w:t>Картфонд</w:t>
      </w:r>
      <w:proofErr w:type="spellEnd"/>
      <w:r w:rsidRPr="00B936C5">
        <w:rPr>
          <w:sz w:val="28"/>
          <w:szCs w:val="28"/>
        </w:rPr>
        <w:t>» в рамках договора № 05-4/2023 от 05.05.2023 г. с Администрацией Сарпинского районного муниципального образования Республики Калмыкия.</w:t>
      </w:r>
    </w:p>
    <w:p w:rsidR="00F44719" w:rsidRPr="00B936C5" w:rsidRDefault="00F44719" w:rsidP="009F789D">
      <w:pPr>
        <w:ind w:right="-284" w:firstLine="709"/>
        <w:jc w:val="both"/>
        <w:rPr>
          <w:sz w:val="28"/>
          <w:szCs w:val="28"/>
        </w:rPr>
      </w:pPr>
      <w:r w:rsidRPr="00B936C5">
        <w:rPr>
          <w:sz w:val="28"/>
          <w:szCs w:val="28"/>
        </w:rPr>
        <w:t xml:space="preserve">Подготовка проекта схемы территориального планирования Сарпинского районного муниципального образования Республики Калмыкия осуществляется в связи с необходимостью учета в утвержденной схеме территориального планирования изменившихся условий территориального и социально-экономического развития. </w:t>
      </w:r>
    </w:p>
    <w:p w:rsidR="00F44719" w:rsidRPr="00B936C5" w:rsidRDefault="00F44719" w:rsidP="009F789D">
      <w:pPr>
        <w:ind w:right="-284" w:firstLine="709"/>
        <w:jc w:val="both"/>
        <w:rPr>
          <w:sz w:val="28"/>
          <w:szCs w:val="28"/>
        </w:rPr>
      </w:pPr>
      <w:r w:rsidRPr="00B936C5">
        <w:rPr>
          <w:sz w:val="28"/>
          <w:szCs w:val="28"/>
        </w:rPr>
        <w:t>За время реализации действующей СТП района существенно изменился ряд обстоятельств, вносящих свои коррективы в процесс градостроительного развития Сарпинского районного муниципального образования. К наиболее значимым обстоятельствам относятся: изменение макроэкономической ситуации в экономике региона, России и мира, замедление темпов экономического роста, обострение негативных демографических процессов; реализация на территории Сарпинского районного муниципального образования инфраструктурных и инвестиционных проектов федерального регионального и местного значения, требующих учета и отображения в документах территориального планирования района.</w:t>
      </w:r>
    </w:p>
    <w:p w:rsidR="00F44719" w:rsidRPr="00B936C5" w:rsidRDefault="00F44719" w:rsidP="009F789D">
      <w:pPr>
        <w:ind w:right="-284" w:firstLine="709"/>
        <w:jc w:val="both"/>
        <w:rPr>
          <w:sz w:val="28"/>
          <w:szCs w:val="28"/>
        </w:rPr>
      </w:pPr>
      <w:r w:rsidRPr="00B936C5">
        <w:rPr>
          <w:sz w:val="28"/>
          <w:szCs w:val="28"/>
        </w:rPr>
        <w:t>Существенным фактором, определяющим необходимость актуализации СТП Сарпинского районного муниципального образования, является корректировка нормативной базы за время действия схемы. В частности, изменение и уточнение полномочий органов местного самоуправления, внесение изменений в Градостроительный кодекс в части состава и содержания документов территориального планирования, принятие новой редакции региональных нормативов градостроительного проектирования Республики Калмыкия и Сарпинского районного муниципального образования, корректировка схемы территориального планирования региона, документов территориального планирования соседних муниципальных образований и т.п.</w:t>
      </w:r>
    </w:p>
    <w:p w:rsidR="00F44719" w:rsidRDefault="00F44719" w:rsidP="009F789D">
      <w:pPr>
        <w:ind w:right="-284" w:firstLine="709"/>
        <w:jc w:val="both"/>
        <w:rPr>
          <w:sz w:val="28"/>
          <w:szCs w:val="28"/>
        </w:rPr>
      </w:pPr>
      <w:r w:rsidRPr="00B936C5">
        <w:rPr>
          <w:sz w:val="28"/>
          <w:szCs w:val="28"/>
        </w:rPr>
        <w:t>Данным СТП были определены планируемые для размещения объекты местного значения муниципального района (табл. 1).</w:t>
      </w:r>
    </w:p>
    <w:p w:rsidR="00B936C5" w:rsidRPr="00B936C5" w:rsidRDefault="00B936C5" w:rsidP="009F789D">
      <w:pPr>
        <w:ind w:right="-284" w:firstLine="709"/>
        <w:jc w:val="both"/>
        <w:rPr>
          <w:sz w:val="28"/>
          <w:szCs w:val="28"/>
        </w:rPr>
      </w:pPr>
    </w:p>
    <w:p w:rsidR="00F44719" w:rsidRDefault="00F44719" w:rsidP="009F789D">
      <w:pPr>
        <w:ind w:right="-284"/>
        <w:jc w:val="center"/>
        <w:rPr>
          <w:noProof/>
          <w:sz w:val="28"/>
          <w:szCs w:val="28"/>
        </w:rPr>
      </w:pPr>
      <w:r w:rsidRPr="00B936C5">
        <w:rPr>
          <w:sz w:val="28"/>
          <w:szCs w:val="28"/>
        </w:rPr>
        <w:t xml:space="preserve">Таблица </w:t>
      </w:r>
      <w:r w:rsidR="00843C92" w:rsidRPr="00B936C5">
        <w:rPr>
          <w:sz w:val="28"/>
          <w:szCs w:val="28"/>
        </w:rPr>
        <w:fldChar w:fldCharType="begin"/>
      </w:r>
      <w:r w:rsidRPr="00B936C5">
        <w:rPr>
          <w:sz w:val="28"/>
          <w:szCs w:val="28"/>
        </w:rPr>
        <w:instrText xml:space="preserve"> SEQ Таблица \* ARABIC </w:instrText>
      </w:r>
      <w:r w:rsidR="00843C92" w:rsidRPr="00B936C5">
        <w:rPr>
          <w:sz w:val="28"/>
          <w:szCs w:val="28"/>
        </w:rPr>
        <w:fldChar w:fldCharType="separate"/>
      </w:r>
      <w:r w:rsidR="00B936C5">
        <w:rPr>
          <w:noProof/>
          <w:sz w:val="28"/>
          <w:szCs w:val="28"/>
        </w:rPr>
        <w:t>1</w:t>
      </w:r>
      <w:r w:rsidR="00843C92" w:rsidRPr="00B936C5">
        <w:rPr>
          <w:sz w:val="28"/>
          <w:szCs w:val="28"/>
        </w:rPr>
        <w:fldChar w:fldCharType="end"/>
      </w:r>
      <w:r w:rsidRPr="00B936C5">
        <w:rPr>
          <w:sz w:val="28"/>
          <w:szCs w:val="28"/>
        </w:rPr>
        <w:t xml:space="preserve">. </w:t>
      </w:r>
      <w:r w:rsidRPr="00B936C5">
        <w:rPr>
          <w:noProof/>
          <w:sz w:val="28"/>
          <w:szCs w:val="28"/>
        </w:rPr>
        <w:t>Планируемые для размещения на территории Сарпинского районного муниципального образования объекты местного значения</w:t>
      </w:r>
    </w:p>
    <w:p w:rsidR="00B936C5" w:rsidRPr="00B936C5" w:rsidRDefault="00B936C5" w:rsidP="009F789D">
      <w:pPr>
        <w:ind w:right="-284"/>
        <w:jc w:val="center"/>
        <w:rPr>
          <w:noProof/>
          <w:sz w:val="28"/>
          <w:szCs w:val="28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44"/>
        <w:gridCol w:w="2276"/>
        <w:gridCol w:w="3416"/>
      </w:tblGrid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/>
              </w:rPr>
            </w:pPr>
            <w:r w:rsidRPr="00DD53FC">
              <w:rPr>
                <w:b/>
              </w:rPr>
              <w:t xml:space="preserve">№ </w:t>
            </w:r>
            <w:proofErr w:type="spellStart"/>
            <w:proofErr w:type="gramStart"/>
            <w:r w:rsidRPr="00DD53FC">
              <w:rPr>
                <w:b/>
              </w:rPr>
              <w:t>п</w:t>
            </w:r>
            <w:proofErr w:type="spellEnd"/>
            <w:proofErr w:type="gramEnd"/>
            <w:r w:rsidRPr="00DD53FC">
              <w:rPr>
                <w:b/>
              </w:rPr>
              <w:t>/</w:t>
            </w:r>
            <w:proofErr w:type="spellStart"/>
            <w:r w:rsidRPr="00DD53FC">
              <w:rPr>
                <w:b/>
              </w:rPr>
              <w:t>п</w:t>
            </w:r>
            <w:proofErr w:type="spellEnd"/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/>
              </w:rPr>
            </w:pPr>
            <w:r w:rsidRPr="00DD53FC">
              <w:rPr>
                <w:b/>
              </w:rPr>
              <w:t>Наименование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/>
              </w:rPr>
            </w:pPr>
            <w:r w:rsidRPr="00DD53FC">
              <w:rPr>
                <w:b/>
              </w:rPr>
              <w:t>Характеристики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/>
              </w:rPr>
            </w:pPr>
            <w:r w:rsidRPr="00DD53FC">
              <w:rPr>
                <w:b/>
              </w:rPr>
              <w:t>Местоположение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Строительство ГРС «Кануково»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Объем 17,58 тыс</w:t>
            </w:r>
            <w:proofErr w:type="gramStart"/>
            <w:r w:rsidRPr="00DD53FC">
              <w:rPr>
                <w:color w:val="000000"/>
              </w:rPr>
              <w:t>.м</w:t>
            </w:r>
            <w:proofErr w:type="gramEnd"/>
            <w:r w:rsidRPr="00DD53FC">
              <w:rPr>
                <w:color w:val="000000"/>
              </w:rPr>
              <w:t>3/час или 41,9 млн.м3/год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B936C5" w:rsidRDefault="00F44719" w:rsidP="00B53E8E">
            <w:pPr>
              <w:jc w:val="center"/>
              <w:rPr>
                <w:color w:val="000000"/>
              </w:rPr>
            </w:pPr>
            <w:r w:rsidRPr="00DD53FC">
              <w:rPr>
                <w:color w:val="000000"/>
              </w:rPr>
              <w:t xml:space="preserve">Кануковское СМО, </w:t>
            </w:r>
          </w:p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с. Кануково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Строительство межпоселковых газопроводов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Протяженность – 81,4 км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Сарпинское РМО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rFonts w:eastAsia="Arial"/>
              </w:rPr>
            </w:pPr>
            <w:r w:rsidRPr="00DD53FC">
              <w:rPr>
                <w:color w:val="000000"/>
              </w:rPr>
              <w:t xml:space="preserve">Реконструкция автодороги подъезд от автомобильной дороги </w:t>
            </w:r>
            <w:r w:rsidRPr="00DD53FC">
              <w:rPr>
                <w:color w:val="000000"/>
              </w:rPr>
              <w:lastRenderedPageBreak/>
              <w:t xml:space="preserve">Р-22 «Каспий» </w:t>
            </w:r>
            <w:proofErr w:type="gramStart"/>
            <w:r w:rsidRPr="00DD53FC">
              <w:rPr>
                <w:color w:val="000000"/>
              </w:rPr>
              <w:t>к</w:t>
            </w:r>
            <w:proofErr w:type="gramEnd"/>
            <w:r w:rsidRPr="00DD53FC">
              <w:rPr>
                <w:color w:val="000000"/>
              </w:rPr>
              <w:t xml:space="preserve"> с. Обильное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rFonts w:eastAsia="Arial Narrow"/>
              </w:rPr>
            </w:pPr>
            <w:r w:rsidRPr="00DD53FC">
              <w:rPr>
                <w:color w:val="000000"/>
              </w:rPr>
              <w:lastRenderedPageBreak/>
              <w:t>Протяженность –</w:t>
            </w:r>
            <w:r>
              <w:rPr>
                <w:color w:val="000000"/>
              </w:rPr>
              <w:t xml:space="preserve"> </w:t>
            </w:r>
            <w:r w:rsidRPr="00DD53FC">
              <w:rPr>
                <w:color w:val="000000"/>
              </w:rPr>
              <w:t>18 км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Сарпинское РМО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 xml:space="preserve">Реконструкция автомобильной дороги Кануково – Салын-Тугтун – </w:t>
            </w:r>
            <w:proofErr w:type="spellStart"/>
            <w:r w:rsidRPr="00DD53FC">
              <w:rPr>
                <w:color w:val="000000"/>
              </w:rPr>
              <w:t>Каажахин</w:t>
            </w:r>
            <w:proofErr w:type="spellEnd"/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Протяженность – 86 км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Сарпинское РМО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Реконструкция автомобильной дороги подъезд к п. Коробкин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Протяженность – 1,0 км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Сарпинское РМО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Реконструкция автомобильной дороги подъезд к п. Шин от федеральной автодороги М-6 «Каспий»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Протяженность – 1,0 км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Сарпинское РМО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 xml:space="preserve">Реконструкция автомобильной дороги Уманцево – </w:t>
            </w:r>
            <w:proofErr w:type="gramStart"/>
            <w:r w:rsidRPr="00DD53FC">
              <w:rPr>
                <w:color w:val="000000"/>
              </w:rPr>
              <w:t>Новый</w:t>
            </w:r>
            <w:proofErr w:type="gramEnd"/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Протяженность – 24,0 км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Сарпинское РМО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 xml:space="preserve">Реконструкция автомобильной дороги </w:t>
            </w:r>
            <w:proofErr w:type="gramStart"/>
            <w:r w:rsidRPr="00DD53FC">
              <w:rPr>
                <w:color w:val="000000"/>
              </w:rPr>
              <w:t>Обильное</w:t>
            </w:r>
            <w:proofErr w:type="gramEnd"/>
            <w:r w:rsidRPr="00DD53FC">
              <w:rPr>
                <w:color w:val="000000"/>
              </w:rPr>
              <w:t xml:space="preserve"> – Листа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Протяженность – 13,7 км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Сарпинское РМО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 xml:space="preserve">Реконструкция автомобильной дороги Салын-Тугтун – </w:t>
            </w:r>
            <w:proofErr w:type="spellStart"/>
            <w:r w:rsidRPr="00DD53FC">
              <w:rPr>
                <w:color w:val="000000"/>
              </w:rPr>
              <w:t>Догзмакин</w:t>
            </w:r>
            <w:proofErr w:type="spellEnd"/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Протяженность – 16,7 км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Сарпинское РМО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  <w:lang w:val="en-US"/>
              </w:rPr>
              <w:t>S – 42*20 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Коробкинское СМО, п. Коробкин, МКОУ «Коробкинская СОШ»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  <w:lang w:val="en-US"/>
              </w:rPr>
              <w:t>S – 42*20 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B936C5" w:rsidRDefault="00F44719" w:rsidP="00B53E8E">
            <w:pPr>
              <w:jc w:val="center"/>
              <w:rPr>
                <w:color w:val="000000"/>
              </w:rPr>
            </w:pPr>
            <w:proofErr w:type="spellStart"/>
            <w:r w:rsidRPr="00DD53FC">
              <w:rPr>
                <w:color w:val="000000"/>
              </w:rPr>
              <w:t>Салынтугтунское</w:t>
            </w:r>
            <w:proofErr w:type="spellEnd"/>
            <w:r w:rsidRPr="00DD53FC">
              <w:rPr>
                <w:color w:val="000000"/>
              </w:rPr>
              <w:t xml:space="preserve"> СМО, </w:t>
            </w:r>
          </w:p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п. Салын-Тугтун, МКОУ «Сарпинская СОШ имени Э.Т. Деликова»</w:t>
            </w:r>
          </w:p>
        </w:tc>
      </w:tr>
      <w:tr w:rsidR="00F44719" w:rsidRPr="00DD53FC" w:rsidTr="00B53E8E">
        <w:trPr>
          <w:trHeight w:val="1252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  <w:lang w:val="en-US"/>
              </w:rPr>
              <w:t>S – 42*20 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B936C5" w:rsidRDefault="00F44719" w:rsidP="00B53E8E">
            <w:pPr>
              <w:jc w:val="center"/>
              <w:rPr>
                <w:color w:val="000000"/>
              </w:rPr>
            </w:pPr>
            <w:proofErr w:type="spellStart"/>
            <w:r w:rsidRPr="00DD53FC">
              <w:rPr>
                <w:color w:val="000000"/>
              </w:rPr>
              <w:t>Уманцевское</w:t>
            </w:r>
            <w:proofErr w:type="spellEnd"/>
            <w:r w:rsidRPr="00DD53FC">
              <w:rPr>
                <w:color w:val="000000"/>
              </w:rPr>
              <w:t xml:space="preserve"> СМО, </w:t>
            </w:r>
          </w:p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с. Уманцево, МКОУ «</w:t>
            </w:r>
            <w:proofErr w:type="spellStart"/>
            <w:r w:rsidRPr="00DD53FC">
              <w:rPr>
                <w:color w:val="000000"/>
              </w:rPr>
              <w:t>Уманцевская</w:t>
            </w:r>
            <w:proofErr w:type="spellEnd"/>
            <w:r w:rsidRPr="00DD53FC">
              <w:rPr>
                <w:color w:val="000000"/>
              </w:rPr>
              <w:t xml:space="preserve"> СОШ имени Х.А. </w:t>
            </w:r>
            <w:proofErr w:type="spellStart"/>
            <w:r w:rsidRPr="00DD53FC">
              <w:rPr>
                <w:color w:val="000000"/>
              </w:rPr>
              <w:t>Надеева</w:t>
            </w:r>
            <w:proofErr w:type="spellEnd"/>
            <w:r w:rsidRPr="00DD53FC">
              <w:rPr>
                <w:color w:val="000000"/>
              </w:rPr>
              <w:t>»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  <w:lang w:val="en-US"/>
              </w:rPr>
              <w:t>S – 42*20 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B936C5" w:rsidRDefault="00F44719" w:rsidP="00B53E8E">
            <w:pPr>
              <w:jc w:val="center"/>
              <w:rPr>
                <w:color w:val="000000"/>
              </w:rPr>
            </w:pPr>
            <w:proofErr w:type="spellStart"/>
            <w:r w:rsidRPr="00DD53FC">
              <w:rPr>
                <w:color w:val="000000"/>
              </w:rPr>
              <w:t>Аршаньзельменское</w:t>
            </w:r>
            <w:proofErr w:type="spellEnd"/>
            <w:r w:rsidRPr="00DD53FC">
              <w:rPr>
                <w:color w:val="000000"/>
              </w:rPr>
              <w:t xml:space="preserve"> СМО, </w:t>
            </w:r>
          </w:p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 xml:space="preserve">п. </w:t>
            </w:r>
            <w:proofErr w:type="spellStart"/>
            <w:r w:rsidRPr="00DD53FC">
              <w:rPr>
                <w:color w:val="000000"/>
              </w:rPr>
              <w:t>Аршан-Зельмень</w:t>
            </w:r>
            <w:proofErr w:type="spellEnd"/>
            <w:r w:rsidRPr="00DD53FC">
              <w:rPr>
                <w:color w:val="000000"/>
              </w:rPr>
              <w:t>, МКОУ «</w:t>
            </w:r>
            <w:proofErr w:type="spellStart"/>
            <w:r w:rsidRPr="00DD53FC">
              <w:rPr>
                <w:color w:val="000000"/>
              </w:rPr>
              <w:t>Аршан-Зельменская</w:t>
            </w:r>
            <w:proofErr w:type="spellEnd"/>
            <w:r w:rsidRPr="00DD53FC">
              <w:rPr>
                <w:color w:val="000000"/>
              </w:rPr>
              <w:t xml:space="preserve"> СОШ»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rFonts w:eastAsia="Arial"/>
              </w:rPr>
            </w:pPr>
            <w:r w:rsidRPr="00DD53FC"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  <w:lang w:val="en-US"/>
              </w:rPr>
              <w:t>S – 42*20 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B936C5" w:rsidRDefault="00F44719" w:rsidP="00B53E8E">
            <w:pPr>
              <w:jc w:val="center"/>
              <w:rPr>
                <w:color w:val="000000"/>
              </w:rPr>
            </w:pPr>
            <w:r w:rsidRPr="00DD53FC">
              <w:rPr>
                <w:color w:val="000000"/>
              </w:rPr>
              <w:t>Кануковское СМО,</w:t>
            </w:r>
          </w:p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 xml:space="preserve"> с. Кануково, МКОУ «</w:t>
            </w:r>
            <w:proofErr w:type="spellStart"/>
            <w:r w:rsidRPr="00DD53FC">
              <w:rPr>
                <w:color w:val="000000"/>
              </w:rPr>
              <w:t>Кануковская</w:t>
            </w:r>
            <w:proofErr w:type="spellEnd"/>
            <w:r w:rsidRPr="00DD53FC">
              <w:rPr>
                <w:color w:val="000000"/>
              </w:rPr>
              <w:t xml:space="preserve"> СОШ имени С.Б. </w:t>
            </w:r>
            <w:proofErr w:type="spellStart"/>
            <w:r w:rsidRPr="00DD53FC">
              <w:rPr>
                <w:color w:val="000000"/>
              </w:rPr>
              <w:t>Козаева</w:t>
            </w:r>
            <w:proofErr w:type="spellEnd"/>
            <w:r w:rsidRPr="00DD53FC">
              <w:rPr>
                <w:color w:val="000000"/>
              </w:rPr>
              <w:t>»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  <w:lang w:val="en-US"/>
              </w:rPr>
              <w:t>S – 42*20 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B936C5" w:rsidRDefault="00F44719" w:rsidP="00B53E8E">
            <w:pPr>
              <w:jc w:val="center"/>
              <w:rPr>
                <w:color w:val="000000"/>
              </w:rPr>
            </w:pPr>
            <w:r w:rsidRPr="00DD53FC">
              <w:rPr>
                <w:color w:val="000000"/>
              </w:rPr>
              <w:t xml:space="preserve">Кировское СМО, </w:t>
            </w:r>
          </w:p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 xml:space="preserve">п. </w:t>
            </w:r>
            <w:proofErr w:type="gramStart"/>
            <w:r w:rsidRPr="00DD53FC">
              <w:rPr>
                <w:color w:val="000000"/>
              </w:rPr>
              <w:t>Кировский</w:t>
            </w:r>
            <w:proofErr w:type="gramEnd"/>
            <w:r w:rsidRPr="00DD53FC">
              <w:rPr>
                <w:color w:val="000000"/>
              </w:rPr>
              <w:t>, МКОУ «Кировская СОШ имени Э.Т. Деликова»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r w:rsidRPr="00DD53FC">
              <w:rPr>
                <w:color w:val="000000"/>
                <w:lang w:val="en-US"/>
              </w:rPr>
              <w:t>S – 42*20 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  <w:rPr>
                <w:bCs/>
              </w:rPr>
            </w:pPr>
            <w:proofErr w:type="gramStart"/>
            <w:r w:rsidRPr="00DD53FC">
              <w:rPr>
                <w:color w:val="000000"/>
              </w:rPr>
              <w:t>Садовское</w:t>
            </w:r>
            <w:proofErr w:type="gramEnd"/>
            <w:r w:rsidRPr="00DD53FC">
              <w:rPr>
                <w:color w:val="000000"/>
              </w:rPr>
              <w:t xml:space="preserve"> СМО, с. Садовое, МКОУ «Садовская СОШ имени Д.А. </w:t>
            </w:r>
            <w:proofErr w:type="spellStart"/>
            <w:r w:rsidRPr="00DD53FC">
              <w:rPr>
                <w:color w:val="000000"/>
              </w:rPr>
              <w:t>Маковкина</w:t>
            </w:r>
            <w:proofErr w:type="spellEnd"/>
            <w:r w:rsidRPr="00DD53FC">
              <w:rPr>
                <w:color w:val="000000"/>
              </w:rPr>
              <w:t>»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  <w:lang w:val="en-US"/>
              </w:rPr>
              <w:t>S – 42*20 м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B936C5" w:rsidRDefault="00F44719" w:rsidP="00B53E8E">
            <w:pPr>
              <w:jc w:val="center"/>
              <w:rPr>
                <w:color w:val="000000"/>
              </w:rPr>
            </w:pPr>
            <w:proofErr w:type="spellStart"/>
            <w:r w:rsidRPr="00DD53FC">
              <w:rPr>
                <w:color w:val="000000"/>
              </w:rPr>
              <w:t>Обильненское</w:t>
            </w:r>
            <w:proofErr w:type="spellEnd"/>
            <w:r w:rsidRPr="00DD53FC">
              <w:rPr>
                <w:color w:val="000000"/>
              </w:rPr>
              <w:t xml:space="preserve"> СМО, </w:t>
            </w:r>
          </w:p>
          <w:p w:rsidR="00F44719" w:rsidRPr="00DD53FC" w:rsidRDefault="00F44719" w:rsidP="00B53E8E">
            <w:pPr>
              <w:jc w:val="center"/>
            </w:pPr>
            <w:r w:rsidRPr="00DD53FC">
              <w:rPr>
                <w:color w:val="000000"/>
              </w:rPr>
              <w:t>с. Обильное, МКОУ «</w:t>
            </w:r>
            <w:proofErr w:type="spellStart"/>
            <w:r w:rsidRPr="00DD53FC">
              <w:rPr>
                <w:color w:val="000000"/>
              </w:rPr>
              <w:t>Обильненская</w:t>
            </w:r>
            <w:proofErr w:type="spellEnd"/>
            <w:r w:rsidRPr="00DD53FC">
              <w:rPr>
                <w:color w:val="000000"/>
              </w:rPr>
              <w:t xml:space="preserve"> СОШ»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bCs/>
                <w:color w:val="000000"/>
              </w:rPr>
              <w:t xml:space="preserve">Размещение нового пожарного депо </w:t>
            </w:r>
            <w:proofErr w:type="gramStart"/>
            <w:r w:rsidRPr="00DD53FC">
              <w:rPr>
                <w:bCs/>
                <w:color w:val="000000"/>
              </w:rPr>
              <w:t>в</w:t>
            </w:r>
            <w:proofErr w:type="gramEnd"/>
            <w:r w:rsidRPr="00DD53FC">
              <w:rPr>
                <w:bCs/>
                <w:color w:val="000000"/>
              </w:rPr>
              <w:t xml:space="preserve"> с. Кануково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bCs/>
                <w:color w:val="000000"/>
              </w:rPr>
              <w:t>Площадь – 500 кв. м.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bCs/>
                <w:color w:val="000000"/>
              </w:rPr>
              <w:t>с. Кануково</w:t>
            </w:r>
          </w:p>
        </w:tc>
      </w:tr>
      <w:tr w:rsidR="00F44719" w:rsidRPr="00DD53FC" w:rsidTr="00B53E8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44719" w:rsidRPr="00DD53FC" w:rsidRDefault="00F44719" w:rsidP="00F44719">
            <w:pPr>
              <w:pStyle w:val="ConsPlusCel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bCs/>
                <w:color w:val="000000"/>
              </w:rPr>
              <w:t xml:space="preserve">Размещение нового пожарного депо </w:t>
            </w:r>
            <w:proofErr w:type="gramStart"/>
            <w:r w:rsidRPr="00DD53FC">
              <w:rPr>
                <w:bCs/>
                <w:color w:val="000000"/>
              </w:rPr>
              <w:t>в</w:t>
            </w:r>
            <w:proofErr w:type="gramEnd"/>
            <w:r w:rsidRPr="00DD53FC">
              <w:rPr>
                <w:bCs/>
                <w:color w:val="000000"/>
              </w:rPr>
              <w:t xml:space="preserve"> с. Обильное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bCs/>
                <w:color w:val="000000"/>
              </w:rPr>
              <w:t>Площадь – 500 кв. м.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F44719" w:rsidRPr="00DD53FC" w:rsidRDefault="00F44719" w:rsidP="00B53E8E">
            <w:pPr>
              <w:jc w:val="center"/>
            </w:pPr>
            <w:r w:rsidRPr="00DD53FC">
              <w:rPr>
                <w:bCs/>
                <w:color w:val="000000"/>
              </w:rPr>
              <w:t>с. Обильное</w:t>
            </w:r>
          </w:p>
        </w:tc>
      </w:tr>
    </w:tbl>
    <w:p w:rsidR="00F44719" w:rsidRDefault="00F44719" w:rsidP="00F44719">
      <w:pPr>
        <w:spacing w:line="360" w:lineRule="auto"/>
        <w:ind w:right="-284"/>
        <w:jc w:val="both"/>
        <w:rPr>
          <w:sz w:val="28"/>
          <w:szCs w:val="28"/>
        </w:rPr>
      </w:pPr>
    </w:p>
    <w:p w:rsidR="00F44719" w:rsidRDefault="00F44719" w:rsidP="00C521C5">
      <w:pPr>
        <w:ind w:firstLine="851"/>
        <w:contextualSpacing/>
        <w:rPr>
          <w:bCs/>
          <w:sz w:val="28"/>
          <w:szCs w:val="28"/>
        </w:rPr>
      </w:pPr>
    </w:p>
    <w:sectPr w:rsidR="00F44719" w:rsidSect="00CE473B">
      <w:pgSz w:w="11906" w:h="16838"/>
      <w:pgMar w:top="709" w:right="851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123"/>
    <w:multiLevelType w:val="hybridMultilevel"/>
    <w:tmpl w:val="409C192E"/>
    <w:lvl w:ilvl="0" w:tplc="ED7074CC">
      <w:start w:val="11"/>
      <w:numFmt w:val="decimal"/>
      <w:lvlText w:val="%1)"/>
      <w:lvlJc w:val="left"/>
      <w:pPr>
        <w:ind w:left="17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B130676"/>
    <w:multiLevelType w:val="multilevel"/>
    <w:tmpl w:val="63D09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E45B6"/>
    <w:multiLevelType w:val="multilevel"/>
    <w:tmpl w:val="9FAE8664"/>
    <w:lvl w:ilvl="0">
      <w:start w:val="4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20C7"/>
    <w:multiLevelType w:val="hybridMultilevel"/>
    <w:tmpl w:val="0CFECF5A"/>
    <w:lvl w:ilvl="0" w:tplc="F260F7C6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147DC"/>
    <w:multiLevelType w:val="multilevel"/>
    <w:tmpl w:val="0CFECF5A"/>
    <w:lvl w:ilvl="0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C4D13"/>
    <w:multiLevelType w:val="hybridMultilevel"/>
    <w:tmpl w:val="1C70601E"/>
    <w:lvl w:ilvl="0" w:tplc="C9EE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797C96"/>
    <w:multiLevelType w:val="multilevel"/>
    <w:tmpl w:val="CFB631AC"/>
    <w:lvl w:ilvl="0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22467"/>
    <w:multiLevelType w:val="multilevel"/>
    <w:tmpl w:val="A97A4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860AF"/>
    <w:multiLevelType w:val="hybridMultilevel"/>
    <w:tmpl w:val="5DE811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A3924"/>
    <w:multiLevelType w:val="multilevel"/>
    <w:tmpl w:val="0CFECF5A"/>
    <w:lvl w:ilvl="0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A2AF9"/>
    <w:multiLevelType w:val="hybridMultilevel"/>
    <w:tmpl w:val="4162AE06"/>
    <w:lvl w:ilvl="0" w:tplc="EC1469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9F972EF"/>
    <w:multiLevelType w:val="hybridMultilevel"/>
    <w:tmpl w:val="D964774C"/>
    <w:lvl w:ilvl="0" w:tplc="385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A3D10"/>
    <w:multiLevelType w:val="multilevel"/>
    <w:tmpl w:val="0CFECF5A"/>
    <w:lvl w:ilvl="0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F5A5A"/>
    <w:multiLevelType w:val="hybridMultilevel"/>
    <w:tmpl w:val="8C02CE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71FC0"/>
    <w:multiLevelType w:val="multilevel"/>
    <w:tmpl w:val="D9647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263B5"/>
    <w:multiLevelType w:val="multilevel"/>
    <w:tmpl w:val="A97A4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2C0EC4"/>
    <w:multiLevelType w:val="hybridMultilevel"/>
    <w:tmpl w:val="C4822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895EF9"/>
    <w:multiLevelType w:val="hybridMultilevel"/>
    <w:tmpl w:val="B23AF970"/>
    <w:lvl w:ilvl="0" w:tplc="7690FC2C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8">
    <w:nsid w:val="6F351A5C"/>
    <w:multiLevelType w:val="hybridMultilevel"/>
    <w:tmpl w:val="5D445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B602B"/>
    <w:multiLevelType w:val="hybridMultilevel"/>
    <w:tmpl w:val="3CA84D24"/>
    <w:lvl w:ilvl="0" w:tplc="5510AF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723FAA"/>
    <w:multiLevelType w:val="multilevel"/>
    <w:tmpl w:val="0CFECF5A"/>
    <w:lvl w:ilvl="0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51038"/>
    <w:multiLevelType w:val="hybridMultilevel"/>
    <w:tmpl w:val="209A0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F2F2A"/>
    <w:multiLevelType w:val="hybridMultilevel"/>
    <w:tmpl w:val="ADBCB59C"/>
    <w:lvl w:ilvl="0" w:tplc="76D8A886">
      <w:start w:val="7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21"/>
  </w:num>
  <w:num w:numId="6">
    <w:abstractNumId w:val="1"/>
  </w:num>
  <w:num w:numId="7">
    <w:abstractNumId w:val="4"/>
  </w:num>
  <w:num w:numId="8">
    <w:abstractNumId w:val="20"/>
  </w:num>
  <w:num w:numId="9">
    <w:abstractNumId w:val="13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 w:numId="17">
    <w:abstractNumId w:val="17"/>
  </w:num>
  <w:num w:numId="18">
    <w:abstractNumId w:val="22"/>
  </w:num>
  <w:num w:numId="19">
    <w:abstractNumId w:val="0"/>
  </w:num>
  <w:num w:numId="20">
    <w:abstractNumId w:val="19"/>
  </w:num>
  <w:num w:numId="21">
    <w:abstractNumId w:val="18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30A97"/>
    <w:rsid w:val="00021EFB"/>
    <w:rsid w:val="000245BE"/>
    <w:rsid w:val="0004033E"/>
    <w:rsid w:val="000514C1"/>
    <w:rsid w:val="00061F42"/>
    <w:rsid w:val="00072E6E"/>
    <w:rsid w:val="00081240"/>
    <w:rsid w:val="00087BCC"/>
    <w:rsid w:val="00091EDB"/>
    <w:rsid w:val="00094950"/>
    <w:rsid w:val="000958C8"/>
    <w:rsid w:val="000A5123"/>
    <w:rsid w:val="000C1781"/>
    <w:rsid w:val="000D1560"/>
    <w:rsid w:val="000D3A42"/>
    <w:rsid w:val="000E309B"/>
    <w:rsid w:val="000E7A31"/>
    <w:rsid w:val="00125827"/>
    <w:rsid w:val="00130662"/>
    <w:rsid w:val="00161411"/>
    <w:rsid w:val="00163097"/>
    <w:rsid w:val="00163E52"/>
    <w:rsid w:val="00180591"/>
    <w:rsid w:val="00192387"/>
    <w:rsid w:val="00196FA5"/>
    <w:rsid w:val="001B3C19"/>
    <w:rsid w:val="001D0FA5"/>
    <w:rsid w:val="001D642E"/>
    <w:rsid w:val="001E4876"/>
    <w:rsid w:val="00207D88"/>
    <w:rsid w:val="0021585E"/>
    <w:rsid w:val="00226D08"/>
    <w:rsid w:val="00227EF0"/>
    <w:rsid w:val="002524D4"/>
    <w:rsid w:val="00257022"/>
    <w:rsid w:val="00285CCF"/>
    <w:rsid w:val="002A09AE"/>
    <w:rsid w:val="002A2CEC"/>
    <w:rsid w:val="002C432B"/>
    <w:rsid w:val="002C54C1"/>
    <w:rsid w:val="002D7E30"/>
    <w:rsid w:val="002F42EF"/>
    <w:rsid w:val="0030282C"/>
    <w:rsid w:val="00303A76"/>
    <w:rsid w:val="00311959"/>
    <w:rsid w:val="003267C0"/>
    <w:rsid w:val="00332F1A"/>
    <w:rsid w:val="0038573E"/>
    <w:rsid w:val="00386035"/>
    <w:rsid w:val="003B2185"/>
    <w:rsid w:val="003B3D88"/>
    <w:rsid w:val="003B4EF1"/>
    <w:rsid w:val="003D3AC7"/>
    <w:rsid w:val="003E02F0"/>
    <w:rsid w:val="003F3B87"/>
    <w:rsid w:val="0040520A"/>
    <w:rsid w:val="004076F2"/>
    <w:rsid w:val="0041083A"/>
    <w:rsid w:val="004366E7"/>
    <w:rsid w:val="0044415D"/>
    <w:rsid w:val="00471751"/>
    <w:rsid w:val="00474A51"/>
    <w:rsid w:val="004B6A0D"/>
    <w:rsid w:val="004D68AC"/>
    <w:rsid w:val="004E39E7"/>
    <w:rsid w:val="004E477F"/>
    <w:rsid w:val="00512D68"/>
    <w:rsid w:val="0052783C"/>
    <w:rsid w:val="00530A97"/>
    <w:rsid w:val="005412C8"/>
    <w:rsid w:val="00541B02"/>
    <w:rsid w:val="00544A81"/>
    <w:rsid w:val="00544C93"/>
    <w:rsid w:val="00566763"/>
    <w:rsid w:val="005677CC"/>
    <w:rsid w:val="00570F51"/>
    <w:rsid w:val="00571B44"/>
    <w:rsid w:val="005879E0"/>
    <w:rsid w:val="00593A47"/>
    <w:rsid w:val="00595B49"/>
    <w:rsid w:val="005979EF"/>
    <w:rsid w:val="005C39CF"/>
    <w:rsid w:val="005F0B0F"/>
    <w:rsid w:val="006170C7"/>
    <w:rsid w:val="00654C7D"/>
    <w:rsid w:val="00656538"/>
    <w:rsid w:val="006660C3"/>
    <w:rsid w:val="00673B49"/>
    <w:rsid w:val="006A0876"/>
    <w:rsid w:val="006A7FBA"/>
    <w:rsid w:val="006B43CC"/>
    <w:rsid w:val="006B7CDF"/>
    <w:rsid w:val="006C041E"/>
    <w:rsid w:val="006C350F"/>
    <w:rsid w:val="006C4BF3"/>
    <w:rsid w:val="006D175D"/>
    <w:rsid w:val="006E3C4D"/>
    <w:rsid w:val="006F3CDA"/>
    <w:rsid w:val="00702AA3"/>
    <w:rsid w:val="00720ADF"/>
    <w:rsid w:val="00725B91"/>
    <w:rsid w:val="00734B00"/>
    <w:rsid w:val="00735167"/>
    <w:rsid w:val="0074083E"/>
    <w:rsid w:val="0074565F"/>
    <w:rsid w:val="00752330"/>
    <w:rsid w:val="007544C5"/>
    <w:rsid w:val="0076346E"/>
    <w:rsid w:val="00776977"/>
    <w:rsid w:val="00783B56"/>
    <w:rsid w:val="00784BBA"/>
    <w:rsid w:val="00786964"/>
    <w:rsid w:val="007A23F8"/>
    <w:rsid w:val="007E4848"/>
    <w:rsid w:val="007F5CD3"/>
    <w:rsid w:val="007F638B"/>
    <w:rsid w:val="00814A10"/>
    <w:rsid w:val="00843C92"/>
    <w:rsid w:val="00867267"/>
    <w:rsid w:val="00874816"/>
    <w:rsid w:val="008774DA"/>
    <w:rsid w:val="008B42B5"/>
    <w:rsid w:val="008D4859"/>
    <w:rsid w:val="008D57D9"/>
    <w:rsid w:val="008D6995"/>
    <w:rsid w:val="008E0553"/>
    <w:rsid w:val="008E4BCB"/>
    <w:rsid w:val="008F12A8"/>
    <w:rsid w:val="008F15C8"/>
    <w:rsid w:val="008F3099"/>
    <w:rsid w:val="008F3B79"/>
    <w:rsid w:val="00903F58"/>
    <w:rsid w:val="00913EBC"/>
    <w:rsid w:val="009211AB"/>
    <w:rsid w:val="00922AA6"/>
    <w:rsid w:val="00925043"/>
    <w:rsid w:val="00940E9F"/>
    <w:rsid w:val="00967E34"/>
    <w:rsid w:val="00981D92"/>
    <w:rsid w:val="00990C6F"/>
    <w:rsid w:val="009971C6"/>
    <w:rsid w:val="009C1789"/>
    <w:rsid w:val="009E263F"/>
    <w:rsid w:val="009E5AD8"/>
    <w:rsid w:val="009F5189"/>
    <w:rsid w:val="009F789D"/>
    <w:rsid w:val="00A038B3"/>
    <w:rsid w:val="00A16DD3"/>
    <w:rsid w:val="00A22720"/>
    <w:rsid w:val="00A23024"/>
    <w:rsid w:val="00A30F3C"/>
    <w:rsid w:val="00A3209A"/>
    <w:rsid w:val="00A47302"/>
    <w:rsid w:val="00A62A6E"/>
    <w:rsid w:val="00A650B1"/>
    <w:rsid w:val="00A7543C"/>
    <w:rsid w:val="00A80462"/>
    <w:rsid w:val="00A86D7B"/>
    <w:rsid w:val="00AA3B38"/>
    <w:rsid w:val="00AC2C0C"/>
    <w:rsid w:val="00AD580C"/>
    <w:rsid w:val="00AF1D00"/>
    <w:rsid w:val="00AF4C3E"/>
    <w:rsid w:val="00AF73D9"/>
    <w:rsid w:val="00B0084C"/>
    <w:rsid w:val="00B10305"/>
    <w:rsid w:val="00B32F58"/>
    <w:rsid w:val="00B5066A"/>
    <w:rsid w:val="00B51740"/>
    <w:rsid w:val="00B51B7C"/>
    <w:rsid w:val="00B66CA8"/>
    <w:rsid w:val="00B77D57"/>
    <w:rsid w:val="00B923A8"/>
    <w:rsid w:val="00B936C5"/>
    <w:rsid w:val="00BA133B"/>
    <w:rsid w:val="00BA2DC6"/>
    <w:rsid w:val="00BA3CD0"/>
    <w:rsid w:val="00BA4DEF"/>
    <w:rsid w:val="00BB112E"/>
    <w:rsid w:val="00BB3B67"/>
    <w:rsid w:val="00BE07C8"/>
    <w:rsid w:val="00BE5622"/>
    <w:rsid w:val="00BF699D"/>
    <w:rsid w:val="00BF6A99"/>
    <w:rsid w:val="00BF711A"/>
    <w:rsid w:val="00C37300"/>
    <w:rsid w:val="00C521C5"/>
    <w:rsid w:val="00C71B88"/>
    <w:rsid w:val="00CA0424"/>
    <w:rsid w:val="00CA2E3D"/>
    <w:rsid w:val="00CB68BC"/>
    <w:rsid w:val="00CC55B3"/>
    <w:rsid w:val="00CE473B"/>
    <w:rsid w:val="00CE6431"/>
    <w:rsid w:val="00D234D3"/>
    <w:rsid w:val="00D264B6"/>
    <w:rsid w:val="00D317EB"/>
    <w:rsid w:val="00D415CC"/>
    <w:rsid w:val="00D56A78"/>
    <w:rsid w:val="00D63960"/>
    <w:rsid w:val="00D75AA8"/>
    <w:rsid w:val="00D76E22"/>
    <w:rsid w:val="00D80053"/>
    <w:rsid w:val="00D80982"/>
    <w:rsid w:val="00D92384"/>
    <w:rsid w:val="00D94E69"/>
    <w:rsid w:val="00D96B49"/>
    <w:rsid w:val="00DA2E6F"/>
    <w:rsid w:val="00DA5136"/>
    <w:rsid w:val="00DB5B17"/>
    <w:rsid w:val="00DD5E01"/>
    <w:rsid w:val="00DE6383"/>
    <w:rsid w:val="00DE7F41"/>
    <w:rsid w:val="00E01F60"/>
    <w:rsid w:val="00E129CC"/>
    <w:rsid w:val="00E3011D"/>
    <w:rsid w:val="00E41CC7"/>
    <w:rsid w:val="00E6069A"/>
    <w:rsid w:val="00E74F04"/>
    <w:rsid w:val="00E756DC"/>
    <w:rsid w:val="00E77EBD"/>
    <w:rsid w:val="00E867E9"/>
    <w:rsid w:val="00E93F1B"/>
    <w:rsid w:val="00EB61AE"/>
    <w:rsid w:val="00ED2004"/>
    <w:rsid w:val="00ED59FB"/>
    <w:rsid w:val="00EE2DBA"/>
    <w:rsid w:val="00EE58D8"/>
    <w:rsid w:val="00EF64F1"/>
    <w:rsid w:val="00EF6BDD"/>
    <w:rsid w:val="00F029A1"/>
    <w:rsid w:val="00F12509"/>
    <w:rsid w:val="00F15C8B"/>
    <w:rsid w:val="00F207F2"/>
    <w:rsid w:val="00F379DD"/>
    <w:rsid w:val="00F44719"/>
    <w:rsid w:val="00F452B8"/>
    <w:rsid w:val="00F5723C"/>
    <w:rsid w:val="00F97870"/>
    <w:rsid w:val="00FA3D50"/>
    <w:rsid w:val="00FA5C88"/>
    <w:rsid w:val="00FB0030"/>
    <w:rsid w:val="00FB7970"/>
    <w:rsid w:val="00FC2069"/>
    <w:rsid w:val="00FD6D6E"/>
    <w:rsid w:val="00F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45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6A7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EFB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30A97"/>
    <w:rPr>
      <w:color w:val="0000FF"/>
      <w:u w:val="single"/>
    </w:rPr>
  </w:style>
  <w:style w:type="paragraph" w:customStyle="1" w:styleId="11">
    <w:name w:val="Знак Знак Знак1 Знак"/>
    <w:basedOn w:val="a"/>
    <w:uiPriority w:val="99"/>
    <w:rsid w:val="00530A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8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80591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922AA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22AA6"/>
    <w:rPr>
      <w:color w:val="auto"/>
    </w:rPr>
  </w:style>
  <w:style w:type="paragraph" w:customStyle="1" w:styleId="a9">
    <w:name w:val="Комментарий"/>
    <w:basedOn w:val="a"/>
    <w:next w:val="a"/>
    <w:uiPriority w:val="99"/>
    <w:rsid w:val="00922AA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21">
    <w:name w:val="Body Text Indent 2"/>
    <w:basedOn w:val="a"/>
    <w:link w:val="22"/>
    <w:semiHidden/>
    <w:unhideWhenUsed/>
    <w:rsid w:val="00D317E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317EB"/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A7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C521C5"/>
    <w:pPr>
      <w:ind w:left="720"/>
      <w:contextualSpacing/>
    </w:pPr>
  </w:style>
  <w:style w:type="character" w:styleId="ab">
    <w:name w:val="Emphasis"/>
    <w:uiPriority w:val="20"/>
    <w:qFormat/>
    <w:locked/>
    <w:rsid w:val="00F44719"/>
    <w:rPr>
      <w:i/>
      <w:iCs/>
    </w:rPr>
  </w:style>
  <w:style w:type="paragraph" w:customStyle="1" w:styleId="ConsPlusCell">
    <w:name w:val="ConsPlusCell"/>
    <w:uiPriority w:val="99"/>
    <w:rsid w:val="00F447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40FC-4F03-4170-9680-FCE2C37A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deputat</cp:lastModifiedBy>
  <cp:revision>22</cp:revision>
  <cp:lastPrinted>2024-02-01T08:21:00Z</cp:lastPrinted>
  <dcterms:created xsi:type="dcterms:W3CDTF">2024-01-24T09:52:00Z</dcterms:created>
  <dcterms:modified xsi:type="dcterms:W3CDTF">2024-03-25T09:22:00Z</dcterms:modified>
</cp:coreProperties>
</file>